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0581"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3A6A0584" w14:textId="77777777" w:rsidR="006F6326" w:rsidRDefault="006F6326" w:rsidP="008A22C6"/>
    <w:tbl>
      <w:tblPr>
        <w:tblStyle w:val="TableGrid"/>
        <w:tblW w:w="9966" w:type="dxa"/>
        <w:tblInd w:w="-318" w:type="dxa"/>
        <w:tblLayout w:type="fixed"/>
        <w:tblLook w:val="04A0" w:firstRow="1" w:lastRow="0" w:firstColumn="1" w:lastColumn="0" w:noHBand="0" w:noVBand="1"/>
      </w:tblPr>
      <w:tblGrid>
        <w:gridCol w:w="2440"/>
        <w:gridCol w:w="7526"/>
      </w:tblGrid>
      <w:tr w:rsidR="006F6326" w14:paraId="3A6A0587" w14:textId="77777777" w:rsidTr="00323BB1">
        <w:tc>
          <w:tcPr>
            <w:tcW w:w="2440" w:type="dxa"/>
          </w:tcPr>
          <w:p w14:paraId="3A6A0585"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7526" w:type="dxa"/>
          </w:tcPr>
          <w:p w14:paraId="3A6A0586" w14:textId="340F8B29" w:rsidR="00B87695" w:rsidRPr="00A96C08" w:rsidRDefault="00FA4DBB" w:rsidP="00FA4DBB">
            <w:pPr>
              <w:rPr>
                <w:rFonts w:ascii="Arial" w:hAnsi="Arial" w:cs="Arial"/>
              </w:rPr>
            </w:pPr>
            <w:r>
              <w:rPr>
                <w:rFonts w:ascii="Arial" w:hAnsi="Arial" w:cs="Arial"/>
              </w:rPr>
              <w:t xml:space="preserve">Allocation of funding for </w:t>
            </w:r>
            <w:r w:rsidR="008A1B0E">
              <w:rPr>
                <w:rFonts w:ascii="Arial" w:hAnsi="Arial" w:cs="Arial"/>
              </w:rPr>
              <w:t xml:space="preserve">the </w:t>
            </w:r>
            <w:r>
              <w:rPr>
                <w:rFonts w:ascii="Arial" w:hAnsi="Arial" w:cs="Arial"/>
              </w:rPr>
              <w:t xml:space="preserve">UKSPF </w:t>
            </w:r>
            <w:r w:rsidRPr="00FA4DBB">
              <w:rPr>
                <w:rFonts w:ascii="Arial" w:hAnsi="Arial" w:cs="Arial"/>
              </w:rPr>
              <w:t xml:space="preserve">Programme 2024/25 </w:t>
            </w:r>
          </w:p>
        </w:tc>
      </w:tr>
      <w:tr w:rsidR="006F6326" w14:paraId="3A6A058A" w14:textId="77777777" w:rsidTr="00323BB1">
        <w:tc>
          <w:tcPr>
            <w:tcW w:w="2440" w:type="dxa"/>
          </w:tcPr>
          <w:p w14:paraId="3A6A0588"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7526" w:type="dxa"/>
          </w:tcPr>
          <w:p w14:paraId="3A6A0589" w14:textId="6F0A696C" w:rsidR="00263039" w:rsidRPr="00A96C08" w:rsidRDefault="008A1B0E" w:rsidP="00963A84">
            <w:pPr>
              <w:rPr>
                <w:rFonts w:ascii="Arial" w:hAnsi="Arial" w:cs="Arial"/>
              </w:rPr>
            </w:pPr>
            <w:r>
              <w:rPr>
                <w:rFonts w:ascii="Arial" w:hAnsi="Arial" w:cs="Arial"/>
              </w:rPr>
              <w:t>11 April</w:t>
            </w:r>
            <w:r w:rsidR="00FA4DBB">
              <w:rPr>
                <w:rFonts w:ascii="Arial" w:hAnsi="Arial" w:cs="Arial"/>
              </w:rPr>
              <w:t xml:space="preserve"> 2024</w:t>
            </w:r>
          </w:p>
        </w:tc>
      </w:tr>
      <w:tr w:rsidR="00854133" w14:paraId="3A6A058D" w14:textId="77777777" w:rsidTr="00323BB1">
        <w:tc>
          <w:tcPr>
            <w:tcW w:w="2440" w:type="dxa"/>
          </w:tcPr>
          <w:p w14:paraId="3A6A058B" w14:textId="4DD85F82" w:rsidR="00854133" w:rsidRPr="00854133" w:rsidRDefault="00854133" w:rsidP="002611EB">
            <w:pPr>
              <w:spacing w:before="120" w:after="120"/>
              <w:rPr>
                <w:rFonts w:ascii="Arial" w:hAnsi="Arial" w:cs="Arial"/>
              </w:rPr>
            </w:pPr>
            <w:r>
              <w:rPr>
                <w:rFonts w:ascii="Arial" w:hAnsi="Arial" w:cs="Arial"/>
                <w:b/>
              </w:rPr>
              <w:t xml:space="preserve">Source of delegation: </w:t>
            </w:r>
          </w:p>
        </w:tc>
        <w:tc>
          <w:tcPr>
            <w:tcW w:w="7526" w:type="dxa"/>
          </w:tcPr>
          <w:p w14:paraId="4E430678" w14:textId="0717B245" w:rsidR="00FE40CE" w:rsidRDefault="00011596" w:rsidP="00FE40CE">
            <w:pPr>
              <w:rPr>
                <w:rFonts w:ascii="Arial" w:hAnsi="Arial" w:cs="Arial"/>
                <w:bCs/>
              </w:rPr>
            </w:pPr>
            <w:bookmarkStart w:id="0" w:name="_Hlk163810504"/>
            <w:r w:rsidRPr="00011596">
              <w:rPr>
                <w:rFonts w:ascii="Arial" w:hAnsi="Arial" w:cs="Arial"/>
                <w:bCs/>
              </w:rPr>
              <w:t>Cabinet</w:t>
            </w:r>
            <w:r w:rsidR="00817B01">
              <w:rPr>
                <w:rFonts w:ascii="Arial" w:hAnsi="Arial" w:cs="Arial"/>
                <w:bCs/>
              </w:rPr>
              <w:t xml:space="preserve">, </w:t>
            </w:r>
            <w:r w:rsidR="009B116B">
              <w:rPr>
                <w:rFonts w:ascii="Arial" w:hAnsi="Arial" w:cs="Arial"/>
                <w:bCs/>
              </w:rPr>
              <w:t xml:space="preserve"> </w:t>
            </w:r>
            <w:hyperlink r:id="rId11" w:history="1">
              <w:r w:rsidR="008A1B0E" w:rsidRPr="00817B01">
                <w:rPr>
                  <w:rStyle w:val="Hyperlink"/>
                  <w:rFonts w:ascii="Arial" w:hAnsi="Arial" w:cs="Arial"/>
                  <w:bCs/>
                </w:rPr>
                <w:t>on 19 October 2022</w:t>
              </w:r>
            </w:hyperlink>
            <w:r w:rsidR="009B116B">
              <w:rPr>
                <w:rFonts w:ascii="Arial" w:hAnsi="Arial" w:cs="Arial"/>
                <w:bCs/>
              </w:rPr>
              <w:t>(‘UK Shared Prosperity Fund Investment Plan’)</w:t>
            </w:r>
            <w:r w:rsidR="00817B01">
              <w:rPr>
                <w:rFonts w:ascii="Arial" w:hAnsi="Arial" w:cs="Arial"/>
                <w:bCs/>
              </w:rPr>
              <w:t>,</w:t>
            </w:r>
            <w:r>
              <w:rPr>
                <w:rFonts w:ascii="Arial" w:hAnsi="Arial" w:cs="Arial"/>
                <w:bCs/>
              </w:rPr>
              <w:t xml:space="preserve"> </w:t>
            </w:r>
            <w:r w:rsidR="00817B01">
              <w:rPr>
                <w:rFonts w:ascii="Arial" w:hAnsi="Arial" w:cs="Arial"/>
                <w:bCs/>
              </w:rPr>
              <w:t>resolved</w:t>
            </w:r>
            <w:r>
              <w:rPr>
                <w:rFonts w:ascii="Arial" w:hAnsi="Arial" w:cs="Arial"/>
                <w:bCs/>
              </w:rPr>
              <w:t xml:space="preserve"> to:</w:t>
            </w:r>
          </w:p>
          <w:p w14:paraId="4D6C976A" w14:textId="59F99A0B" w:rsidR="00817B01" w:rsidRDefault="00817B01" w:rsidP="00FE40CE">
            <w:pPr>
              <w:rPr>
                <w:rFonts w:ascii="Arial" w:hAnsi="Arial" w:cs="Arial"/>
                <w:bCs/>
              </w:rPr>
            </w:pPr>
          </w:p>
          <w:p w14:paraId="57977E59" w14:textId="3AF6135B" w:rsidR="00817B01" w:rsidRPr="00817B01" w:rsidRDefault="00817B01" w:rsidP="009B116B">
            <w:pPr>
              <w:pStyle w:val="ListParagraph"/>
              <w:numPr>
                <w:ilvl w:val="0"/>
                <w:numId w:val="11"/>
              </w:numPr>
              <w:ind w:left="454" w:hanging="426"/>
              <w:rPr>
                <w:rFonts w:ascii="Arial" w:hAnsi="Arial" w:cs="Arial"/>
                <w:bCs/>
              </w:rPr>
            </w:pPr>
            <w:r>
              <w:rPr>
                <w:rFonts w:ascii="Arial" w:hAnsi="Arial" w:cs="Arial"/>
                <w:b/>
              </w:rPr>
              <w:t>Endorse</w:t>
            </w:r>
            <w:r>
              <w:rPr>
                <w:rFonts w:ascii="Arial" w:hAnsi="Arial" w:cs="Arial"/>
                <w:bCs/>
              </w:rPr>
              <w:t xml:space="preserve"> the Oxford City Council UK Shared Prosperity Investment Plan, as submitted to government on 1 August under a delegated officer decision, in order to secure up to £1m of funding for the </w:t>
            </w:r>
            <w:proofErr w:type="gramStart"/>
            <w:r>
              <w:rPr>
                <w:rFonts w:ascii="Arial" w:hAnsi="Arial" w:cs="Arial"/>
                <w:bCs/>
              </w:rPr>
              <w:t>city;</w:t>
            </w:r>
            <w:proofErr w:type="gramEnd"/>
          </w:p>
          <w:p w14:paraId="20CCE24D" w14:textId="77777777" w:rsidR="00011596" w:rsidRPr="00011596" w:rsidRDefault="00011596" w:rsidP="009B116B">
            <w:pPr>
              <w:ind w:left="454" w:hanging="426"/>
              <w:rPr>
                <w:rFonts w:ascii="Arial" w:hAnsi="Arial" w:cs="Arial"/>
                <w:b/>
                <w:bCs/>
              </w:rPr>
            </w:pPr>
            <w:r w:rsidRPr="00011596">
              <w:rPr>
                <w:rFonts w:ascii="Arial" w:hAnsi="Arial" w:cs="Arial"/>
                <w:b/>
                <w:bCs/>
              </w:rPr>
              <w:t> </w:t>
            </w:r>
          </w:p>
          <w:p w14:paraId="2B2A3066" w14:textId="3F843130" w:rsidR="00E97024" w:rsidRPr="00817B01" w:rsidRDefault="00011596" w:rsidP="009B116B">
            <w:pPr>
              <w:pStyle w:val="ListParagraph"/>
              <w:numPr>
                <w:ilvl w:val="0"/>
                <w:numId w:val="11"/>
              </w:numPr>
              <w:ind w:left="454" w:hanging="426"/>
              <w:rPr>
                <w:rFonts w:ascii="Arial" w:hAnsi="Arial" w:cs="Arial"/>
                <w:b/>
                <w:bCs/>
              </w:rPr>
            </w:pPr>
            <w:r w:rsidRPr="00817B01">
              <w:rPr>
                <w:rFonts w:ascii="Arial" w:hAnsi="Arial" w:cs="Arial"/>
                <w:b/>
                <w:bCs/>
              </w:rPr>
              <w:t xml:space="preserve">Delegate </w:t>
            </w:r>
            <w:r w:rsidRPr="00817B01">
              <w:rPr>
                <w:rFonts w:ascii="Arial" w:hAnsi="Arial" w:cs="Arial"/>
                <w:bCs/>
              </w:rPr>
              <w:t xml:space="preserve">authority to the Executive Director (Development) to take the necessary decisions and actions to oversee the UKSPF investment plan, including implementing and administering the scheme and the resulting projects in accordance with the requirements and priorities of the prospectus and </w:t>
            </w:r>
            <w:proofErr w:type="gramStart"/>
            <w:r w:rsidRPr="00817B01">
              <w:rPr>
                <w:rFonts w:ascii="Arial" w:hAnsi="Arial" w:cs="Arial"/>
                <w:bCs/>
              </w:rPr>
              <w:t>fund;</w:t>
            </w:r>
            <w:proofErr w:type="gramEnd"/>
            <w:r w:rsidR="00817B01" w:rsidRPr="00817B01">
              <w:rPr>
                <w:rFonts w:ascii="Arial" w:hAnsi="Arial" w:cs="Arial"/>
                <w:b/>
                <w:bCs/>
              </w:rPr>
              <w:t xml:space="preserve"> </w:t>
            </w:r>
          </w:p>
          <w:p w14:paraId="0D338946" w14:textId="77777777" w:rsidR="00817B01" w:rsidRPr="00817B01" w:rsidRDefault="00817B01" w:rsidP="009B116B">
            <w:pPr>
              <w:pStyle w:val="ListParagraph"/>
              <w:ind w:left="454" w:hanging="426"/>
              <w:rPr>
                <w:rStyle w:val="Hyperlink"/>
                <w:rFonts w:ascii="Arial" w:hAnsi="Arial" w:cs="Arial"/>
                <w:b/>
                <w:bCs/>
                <w:color w:val="auto"/>
                <w:u w:val="none"/>
              </w:rPr>
            </w:pPr>
          </w:p>
          <w:p w14:paraId="005E5F8C" w14:textId="123922E1" w:rsidR="00817B01" w:rsidRDefault="009B116B" w:rsidP="009B116B">
            <w:pPr>
              <w:pStyle w:val="ListParagraph"/>
              <w:numPr>
                <w:ilvl w:val="0"/>
                <w:numId w:val="12"/>
              </w:numPr>
              <w:ind w:left="454" w:hanging="426"/>
              <w:rPr>
                <w:rStyle w:val="Hyperlink"/>
                <w:rFonts w:ascii="Arial" w:hAnsi="Arial" w:cs="Arial"/>
                <w:color w:val="auto"/>
                <w:u w:val="none"/>
              </w:rPr>
            </w:pPr>
            <w:r>
              <w:rPr>
                <w:rStyle w:val="Hyperlink"/>
                <w:rFonts w:ascii="Arial" w:hAnsi="Arial" w:cs="Arial"/>
                <w:b/>
                <w:bCs/>
                <w:color w:val="auto"/>
                <w:u w:val="none"/>
              </w:rPr>
              <w:t>Recommend to Council</w:t>
            </w:r>
            <w:r>
              <w:rPr>
                <w:rStyle w:val="Hyperlink"/>
                <w:rFonts w:ascii="Arial" w:hAnsi="Arial" w:cs="Arial"/>
                <w:color w:val="auto"/>
                <w:u w:val="none"/>
              </w:rPr>
              <w:t xml:space="preserve"> the establishing of capital and revenue budgets in accordance with paragraph 21 of the report.</w:t>
            </w:r>
          </w:p>
          <w:p w14:paraId="184BBE5E" w14:textId="6C7B8EB7" w:rsidR="009B116B" w:rsidRDefault="009B116B" w:rsidP="009B116B">
            <w:pPr>
              <w:ind w:left="28"/>
              <w:rPr>
                <w:rStyle w:val="Hyperlink"/>
                <w:rFonts w:ascii="Arial" w:hAnsi="Arial" w:cs="Arial"/>
                <w:color w:val="auto"/>
                <w:u w:val="none"/>
              </w:rPr>
            </w:pPr>
          </w:p>
          <w:p w14:paraId="5B1EE1B7" w14:textId="6830900B" w:rsidR="009B116B" w:rsidRPr="009B116B" w:rsidRDefault="009B116B" w:rsidP="009B116B">
            <w:pPr>
              <w:ind w:left="28"/>
              <w:rPr>
                <w:rStyle w:val="Hyperlink"/>
                <w:rFonts w:ascii="Arial" w:hAnsi="Arial" w:cs="Arial"/>
                <w:color w:val="auto"/>
                <w:u w:val="none"/>
              </w:rPr>
            </w:pPr>
            <w:r>
              <w:rPr>
                <w:rStyle w:val="Hyperlink"/>
                <w:rFonts w:ascii="Arial" w:hAnsi="Arial" w:cs="Arial"/>
                <w:color w:val="auto"/>
                <w:u w:val="none"/>
              </w:rPr>
              <w:t xml:space="preserve">Council, </w:t>
            </w:r>
            <w:hyperlink r:id="rId12" w:history="1">
              <w:r w:rsidRPr="009B116B">
                <w:rPr>
                  <w:rStyle w:val="Hyperlink"/>
                  <w:rFonts w:ascii="Arial" w:hAnsi="Arial" w:cs="Arial"/>
                </w:rPr>
                <w:t>on 28 November 2022</w:t>
              </w:r>
            </w:hyperlink>
            <w:r>
              <w:rPr>
                <w:rStyle w:val="Hyperlink"/>
                <w:rFonts w:ascii="Arial" w:hAnsi="Arial" w:cs="Arial"/>
                <w:color w:val="auto"/>
                <w:u w:val="none"/>
              </w:rPr>
              <w:t>, resolved to establish capital and revenue budgets in accordance with paragraph 21 of the report.</w:t>
            </w:r>
            <w:bookmarkEnd w:id="0"/>
          </w:p>
          <w:p w14:paraId="3A6A058C" w14:textId="070F033B" w:rsidR="00011596" w:rsidRPr="00E20A54" w:rsidRDefault="00011596" w:rsidP="00011596">
            <w:pPr>
              <w:rPr>
                <w:rFonts w:ascii="Arial" w:hAnsi="Arial" w:cs="Arial"/>
              </w:rPr>
            </w:pPr>
          </w:p>
        </w:tc>
      </w:tr>
      <w:tr w:rsidR="00B87695" w14:paraId="3A6A0590" w14:textId="77777777" w:rsidTr="00D36D04">
        <w:trPr>
          <w:trHeight w:val="3251"/>
        </w:trPr>
        <w:tc>
          <w:tcPr>
            <w:tcW w:w="2440" w:type="dxa"/>
          </w:tcPr>
          <w:p w14:paraId="3A6A058E" w14:textId="2A12D861"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7526" w:type="dxa"/>
          </w:tcPr>
          <w:p w14:paraId="3302C0D8" w14:textId="55E059B5" w:rsidR="00FC7789" w:rsidRDefault="00FC7789" w:rsidP="00FC7789">
            <w:pPr>
              <w:pStyle w:val="NumPara"/>
              <w:numPr>
                <w:ilvl w:val="0"/>
                <w:numId w:val="14"/>
              </w:numPr>
              <w:spacing w:after="0" w:line="240" w:lineRule="auto"/>
              <w:ind w:left="476" w:hanging="448"/>
              <w:rPr>
                <w:rFonts w:cs="Arial"/>
              </w:rPr>
            </w:pPr>
            <w:r>
              <w:rPr>
                <w:rFonts w:cs="Arial"/>
              </w:rPr>
              <w:t>T</w:t>
            </w:r>
            <w:r w:rsidRPr="003C7B81">
              <w:rPr>
                <w:rFonts w:cs="Arial"/>
              </w:rPr>
              <w:t xml:space="preserve">o </w:t>
            </w:r>
            <w:r>
              <w:rPr>
                <w:rFonts w:cs="Arial"/>
              </w:rPr>
              <w:t xml:space="preserve">agree a proposal for the council’s Year 3 UKSPF investment plan, including the activities to be delivered under the People and Skills Investment theme. </w:t>
            </w:r>
          </w:p>
          <w:p w14:paraId="1ADE5D48" w14:textId="77777777" w:rsidR="00FC7789" w:rsidRDefault="00FC7789" w:rsidP="00FC7789">
            <w:pPr>
              <w:pStyle w:val="NumPara"/>
              <w:spacing w:after="0" w:line="240" w:lineRule="auto"/>
              <w:ind w:left="476" w:hanging="448"/>
              <w:rPr>
                <w:rFonts w:cs="Arial"/>
              </w:rPr>
            </w:pPr>
          </w:p>
          <w:p w14:paraId="0BACF936" w14:textId="7FB8213F" w:rsidR="00FC7789" w:rsidRDefault="00FC7789" w:rsidP="00FC7789">
            <w:pPr>
              <w:pStyle w:val="NumPara"/>
              <w:numPr>
                <w:ilvl w:val="0"/>
                <w:numId w:val="14"/>
              </w:numPr>
              <w:spacing w:after="0" w:line="240" w:lineRule="auto"/>
              <w:ind w:left="476" w:hanging="448"/>
              <w:rPr>
                <w:rFonts w:cs="Arial"/>
              </w:rPr>
            </w:pPr>
            <w:r>
              <w:rPr>
                <w:rFonts w:cs="Arial"/>
              </w:rPr>
              <w:t xml:space="preserve">To allocate £210k of the People and Skills funding to a set of projects deliver the outputs and outcomes in the investment plan for E39: Green Skills, and </w:t>
            </w:r>
            <w:r w:rsidRPr="00323BB1">
              <w:rPr>
                <w:rFonts w:cs="Arial"/>
              </w:rPr>
              <w:t>E33: Supporting peop</w:t>
            </w:r>
            <w:r>
              <w:rPr>
                <w:rFonts w:cs="Arial"/>
              </w:rPr>
              <w:t xml:space="preserve">le into employment and training. This includes: </w:t>
            </w:r>
          </w:p>
          <w:p w14:paraId="05E13ED3" w14:textId="77777777" w:rsidR="00FC7789" w:rsidRPr="002E5FC6" w:rsidRDefault="00FC7789" w:rsidP="00FC7789">
            <w:pPr>
              <w:pStyle w:val="NumPara"/>
              <w:numPr>
                <w:ilvl w:val="0"/>
                <w:numId w:val="10"/>
              </w:numPr>
              <w:spacing w:after="0" w:line="240" w:lineRule="auto"/>
              <w:ind w:left="476" w:hanging="448"/>
            </w:pPr>
            <w:r>
              <w:rPr>
                <w:rFonts w:eastAsiaTheme="minorHAnsi" w:cstheme="minorBidi"/>
                <w:lang w:eastAsia="en-US"/>
              </w:rPr>
              <w:t xml:space="preserve">£95k on Demand Stimulation activities – to generate awareness of and demand for green skills courses, including among cohorts where these skills aren’t currently sought. This includes an investment in internal capacity to embed these outcomes into Community Employment and Procurement Plans; and providing funding to support community level triage into skills, </w:t>
            </w:r>
            <w:proofErr w:type="gramStart"/>
            <w:r>
              <w:rPr>
                <w:rFonts w:eastAsiaTheme="minorHAnsi" w:cstheme="minorBidi"/>
                <w:lang w:eastAsia="en-US"/>
              </w:rPr>
              <w:t>training</w:t>
            </w:r>
            <w:proofErr w:type="gramEnd"/>
            <w:r>
              <w:rPr>
                <w:rFonts w:eastAsiaTheme="minorHAnsi" w:cstheme="minorBidi"/>
                <w:lang w:eastAsia="en-US"/>
              </w:rPr>
              <w:t xml:space="preserve"> and employment opportunities. </w:t>
            </w:r>
          </w:p>
          <w:p w14:paraId="2D33CC97" w14:textId="77777777" w:rsidR="00FC7789" w:rsidRPr="003E6786" w:rsidRDefault="00FC7789" w:rsidP="00FC7789">
            <w:pPr>
              <w:pStyle w:val="NumPara"/>
              <w:numPr>
                <w:ilvl w:val="0"/>
                <w:numId w:val="10"/>
              </w:numPr>
              <w:spacing w:after="0" w:line="240" w:lineRule="auto"/>
              <w:ind w:left="476" w:hanging="448"/>
              <w:rPr>
                <w:rFonts w:eastAsiaTheme="minorHAnsi" w:cstheme="minorBidi"/>
                <w:lang w:eastAsia="en-US"/>
              </w:rPr>
            </w:pPr>
            <w:r w:rsidRPr="005E21C9">
              <w:rPr>
                <w:rFonts w:eastAsiaTheme="minorHAnsi" w:cstheme="minorBidi"/>
                <w:lang w:eastAsia="en-US"/>
              </w:rPr>
              <w:t xml:space="preserve">£115k on Course Delivery – </w:t>
            </w:r>
            <w:r>
              <w:rPr>
                <w:rFonts w:eastAsiaTheme="minorHAnsi" w:cstheme="minorBidi"/>
                <w:lang w:eastAsia="en-US"/>
              </w:rPr>
              <w:t>Including a Demand-</w:t>
            </w:r>
            <w:r w:rsidRPr="003E6786">
              <w:rPr>
                <w:rFonts w:eastAsiaTheme="minorHAnsi" w:cstheme="minorBidi"/>
                <w:lang w:eastAsia="en-US"/>
              </w:rPr>
              <w:t xml:space="preserve">responsive fund to support businesses and individuals to achieve Green Skills qualifications; </w:t>
            </w:r>
            <w:r>
              <w:rPr>
                <w:rFonts w:eastAsiaTheme="minorHAnsi" w:cstheme="minorBidi"/>
                <w:lang w:eastAsia="en-US"/>
              </w:rPr>
              <w:t xml:space="preserve">and an </w:t>
            </w:r>
            <w:r w:rsidRPr="003E6786">
              <w:rPr>
                <w:rFonts w:eastAsiaTheme="minorHAnsi" w:cstheme="minorBidi"/>
                <w:lang w:eastAsia="en-US"/>
              </w:rPr>
              <w:t xml:space="preserve">investment in OCC capacity to deliver Carbon Literacy courses to staff and ZCOP </w:t>
            </w:r>
            <w:proofErr w:type="gramStart"/>
            <w:r w:rsidRPr="003E6786">
              <w:rPr>
                <w:rFonts w:eastAsiaTheme="minorHAnsi" w:cstheme="minorBidi"/>
                <w:lang w:eastAsia="en-US"/>
              </w:rPr>
              <w:t>partners</w:t>
            </w:r>
            <w:proofErr w:type="gramEnd"/>
          </w:p>
          <w:p w14:paraId="373C8F94" w14:textId="77777777" w:rsidR="00FC7789" w:rsidRDefault="00FC7789" w:rsidP="00FC7789">
            <w:pPr>
              <w:ind w:left="476" w:hanging="448"/>
              <w:rPr>
                <w:rFonts w:ascii="Arial" w:hAnsi="Arial" w:cs="Arial"/>
              </w:rPr>
            </w:pPr>
          </w:p>
          <w:p w14:paraId="295CE8A0" w14:textId="7396851D" w:rsidR="00FC7789" w:rsidRPr="003715BC" w:rsidRDefault="00FC7789" w:rsidP="00FC7789">
            <w:pPr>
              <w:pStyle w:val="NumPara"/>
              <w:numPr>
                <w:ilvl w:val="0"/>
                <w:numId w:val="14"/>
              </w:numPr>
              <w:spacing w:after="0" w:line="240" w:lineRule="auto"/>
              <w:ind w:left="476" w:hanging="448"/>
              <w:rPr>
                <w:rFonts w:cs="Arial"/>
              </w:rPr>
            </w:pPr>
            <w:r>
              <w:rPr>
                <w:rFonts w:eastAsiaTheme="minorHAnsi" w:cstheme="minorBidi"/>
                <w:lang w:eastAsia="en-US"/>
              </w:rPr>
              <w:t>To reallocate:</w:t>
            </w:r>
          </w:p>
          <w:p w14:paraId="6C54FD04" w14:textId="707D9175" w:rsidR="00FC7789" w:rsidRPr="00FC7789" w:rsidRDefault="00FC7789" w:rsidP="00FC7789">
            <w:pPr>
              <w:pStyle w:val="NumPara"/>
              <w:numPr>
                <w:ilvl w:val="0"/>
                <w:numId w:val="10"/>
              </w:numPr>
              <w:spacing w:after="0" w:line="240" w:lineRule="auto"/>
              <w:ind w:left="476" w:hanging="448"/>
              <w:rPr>
                <w:rFonts w:cs="Arial"/>
              </w:rPr>
            </w:pPr>
            <w:r w:rsidRPr="005E21C9">
              <w:rPr>
                <w:rFonts w:eastAsiaTheme="minorHAnsi" w:cstheme="minorBidi"/>
                <w:lang w:eastAsia="en-US"/>
              </w:rPr>
              <w:t xml:space="preserve">£30k from People and skills investment theme to </w:t>
            </w:r>
            <w:r>
              <w:rPr>
                <w:rFonts w:eastAsiaTheme="minorHAnsi" w:cstheme="minorBidi"/>
                <w:lang w:eastAsia="en-US"/>
              </w:rPr>
              <w:t xml:space="preserve">support </w:t>
            </w:r>
            <w:r w:rsidRPr="005E21C9">
              <w:rPr>
                <w:rFonts w:eastAsiaTheme="minorHAnsi" w:cstheme="minorBidi"/>
                <w:lang w:eastAsia="en-US"/>
              </w:rPr>
              <w:t>Strategy/Feasibility gaps elsewhere in the programme</w:t>
            </w:r>
            <w:r>
              <w:rPr>
                <w:rFonts w:eastAsiaTheme="minorHAnsi" w:cstheme="minorBidi"/>
                <w:lang w:eastAsia="en-US"/>
              </w:rPr>
              <w:t>. Includes investments in a Skills Gap Analysis, Affordable Workspace Strategy, and Enabling works for City Centre Animation.</w:t>
            </w:r>
          </w:p>
          <w:p w14:paraId="1C423350" w14:textId="77777777" w:rsidR="00FC7789" w:rsidRPr="00835E30" w:rsidRDefault="00FC7789" w:rsidP="00FC7789">
            <w:pPr>
              <w:pStyle w:val="NumPara"/>
              <w:spacing w:after="0" w:line="240" w:lineRule="auto"/>
              <w:ind w:left="720"/>
              <w:rPr>
                <w:rFonts w:cs="Arial"/>
              </w:rPr>
            </w:pPr>
          </w:p>
          <w:p w14:paraId="137B79D1" w14:textId="0E4F5EDE" w:rsidR="00FC7789" w:rsidRPr="003E6786" w:rsidRDefault="00FC7789" w:rsidP="00FC7789">
            <w:pPr>
              <w:pStyle w:val="NumPara"/>
              <w:spacing w:after="0" w:line="240" w:lineRule="auto"/>
              <w:rPr>
                <w:rFonts w:cs="Arial"/>
              </w:rPr>
            </w:pPr>
            <w:r>
              <w:rPr>
                <w:rFonts w:cs="Arial"/>
              </w:rPr>
              <w:t>This results in a programme spend profile as follows:</w:t>
            </w:r>
          </w:p>
          <w:p w14:paraId="02FD080B" w14:textId="77777777" w:rsidR="00FC7789" w:rsidRDefault="00FC7789" w:rsidP="00FC7789">
            <w:pPr>
              <w:rPr>
                <w:rFonts w:ascii="Arial" w:hAnsi="Arial" w:cs="Arial"/>
              </w:rPr>
            </w:pPr>
          </w:p>
          <w:tbl>
            <w:tblPr>
              <w:tblStyle w:val="TableGrid"/>
              <w:tblW w:w="0" w:type="auto"/>
              <w:tblLayout w:type="fixed"/>
              <w:tblLook w:val="04A0" w:firstRow="1" w:lastRow="0" w:firstColumn="1" w:lastColumn="0" w:noHBand="0" w:noVBand="1"/>
            </w:tblPr>
            <w:tblGrid>
              <w:gridCol w:w="2580"/>
              <w:gridCol w:w="1276"/>
              <w:gridCol w:w="1276"/>
              <w:gridCol w:w="1276"/>
              <w:gridCol w:w="850"/>
            </w:tblGrid>
            <w:tr w:rsidR="00FC7789" w:rsidRPr="00EB1F1D" w14:paraId="22C2F6AB" w14:textId="77777777" w:rsidTr="009F689E">
              <w:trPr>
                <w:trHeight w:val="288"/>
              </w:trPr>
              <w:tc>
                <w:tcPr>
                  <w:tcW w:w="2580" w:type="dxa"/>
                  <w:noWrap/>
                  <w:hideMark/>
                </w:tcPr>
                <w:p w14:paraId="402A3B8E" w14:textId="77777777" w:rsidR="00FC7789" w:rsidRPr="00EB1F1D" w:rsidRDefault="00FC7789" w:rsidP="00FC7789">
                  <w:pPr>
                    <w:pStyle w:val="NumPara"/>
                    <w:rPr>
                      <w:rFonts w:asciiTheme="minorHAnsi" w:hAnsiTheme="minorHAnsi" w:cstheme="minorHAnsi"/>
                      <w:b/>
                      <w:sz w:val="22"/>
                    </w:rPr>
                  </w:pPr>
                  <w:bookmarkStart w:id="1" w:name="_Hlk163826934"/>
                  <w:r w:rsidRPr="00EB1F1D">
                    <w:rPr>
                      <w:rFonts w:asciiTheme="minorHAnsi" w:hAnsiTheme="minorHAnsi" w:cstheme="minorHAnsi"/>
                      <w:b/>
                      <w:sz w:val="22"/>
                    </w:rPr>
                    <w:t>UKSPF Theme</w:t>
                  </w:r>
                </w:p>
              </w:tc>
              <w:tc>
                <w:tcPr>
                  <w:tcW w:w="1276" w:type="dxa"/>
                  <w:noWrap/>
                  <w:hideMark/>
                </w:tcPr>
                <w:p w14:paraId="2F3B7AD9" w14:textId="77777777" w:rsidR="00FC7789" w:rsidRPr="00EB1F1D" w:rsidRDefault="00FC7789" w:rsidP="00FC7789">
                  <w:pPr>
                    <w:pStyle w:val="NumPara"/>
                    <w:rPr>
                      <w:rFonts w:asciiTheme="minorHAnsi" w:hAnsiTheme="minorHAnsi" w:cstheme="minorHAnsi"/>
                      <w:b/>
                      <w:sz w:val="22"/>
                    </w:rPr>
                  </w:pPr>
                  <w:r w:rsidRPr="00EB1F1D">
                    <w:rPr>
                      <w:rFonts w:asciiTheme="minorHAnsi" w:hAnsiTheme="minorHAnsi" w:cstheme="minorHAnsi"/>
                      <w:b/>
                      <w:sz w:val="22"/>
                    </w:rPr>
                    <w:t>2023/24</w:t>
                  </w:r>
                </w:p>
              </w:tc>
              <w:tc>
                <w:tcPr>
                  <w:tcW w:w="1276" w:type="dxa"/>
                  <w:noWrap/>
                  <w:hideMark/>
                </w:tcPr>
                <w:p w14:paraId="17E4B385" w14:textId="77777777" w:rsidR="00FC7789" w:rsidRPr="00EB1F1D" w:rsidRDefault="00FC7789" w:rsidP="00FC7789">
                  <w:pPr>
                    <w:pStyle w:val="NumPara"/>
                    <w:rPr>
                      <w:rFonts w:asciiTheme="minorHAnsi" w:hAnsiTheme="minorHAnsi" w:cstheme="minorHAnsi"/>
                      <w:b/>
                      <w:sz w:val="22"/>
                    </w:rPr>
                  </w:pPr>
                  <w:r w:rsidRPr="00EB1F1D">
                    <w:rPr>
                      <w:rFonts w:asciiTheme="minorHAnsi" w:hAnsiTheme="minorHAnsi" w:cstheme="minorHAnsi"/>
                      <w:b/>
                      <w:sz w:val="22"/>
                    </w:rPr>
                    <w:t>2024/25</w:t>
                  </w:r>
                </w:p>
              </w:tc>
              <w:tc>
                <w:tcPr>
                  <w:tcW w:w="1276" w:type="dxa"/>
                  <w:noWrap/>
                  <w:hideMark/>
                </w:tcPr>
                <w:p w14:paraId="3BC7C33E" w14:textId="77777777" w:rsidR="00FC7789" w:rsidRPr="00EB1F1D" w:rsidRDefault="00FC7789" w:rsidP="00FC7789">
                  <w:pPr>
                    <w:pStyle w:val="NumPara"/>
                    <w:rPr>
                      <w:rFonts w:asciiTheme="minorHAnsi" w:hAnsiTheme="minorHAnsi" w:cstheme="minorHAnsi"/>
                      <w:b/>
                      <w:sz w:val="22"/>
                    </w:rPr>
                  </w:pPr>
                  <w:r w:rsidRPr="00EB1F1D">
                    <w:rPr>
                      <w:rFonts w:asciiTheme="minorHAnsi" w:hAnsiTheme="minorHAnsi" w:cstheme="minorHAnsi"/>
                      <w:b/>
                      <w:sz w:val="22"/>
                    </w:rPr>
                    <w:t>Total</w:t>
                  </w:r>
                </w:p>
              </w:tc>
              <w:tc>
                <w:tcPr>
                  <w:tcW w:w="850" w:type="dxa"/>
                  <w:noWrap/>
                  <w:hideMark/>
                </w:tcPr>
                <w:p w14:paraId="7999F7C3" w14:textId="77777777" w:rsidR="00FC7789" w:rsidRPr="00EB1F1D" w:rsidRDefault="00FC7789" w:rsidP="00FC7789">
                  <w:pPr>
                    <w:pStyle w:val="NumPara"/>
                    <w:rPr>
                      <w:rFonts w:asciiTheme="minorHAnsi" w:hAnsiTheme="minorHAnsi" w:cstheme="minorHAnsi"/>
                      <w:b/>
                      <w:sz w:val="22"/>
                    </w:rPr>
                  </w:pPr>
                  <w:r>
                    <w:rPr>
                      <w:rFonts w:asciiTheme="minorHAnsi" w:hAnsiTheme="minorHAnsi" w:cstheme="minorHAnsi"/>
                      <w:b/>
                      <w:sz w:val="22"/>
                    </w:rPr>
                    <w:t>% age</w:t>
                  </w:r>
                </w:p>
              </w:tc>
            </w:tr>
            <w:tr w:rsidR="00FC7789" w:rsidRPr="00EB1F1D" w14:paraId="57C6026E" w14:textId="77777777" w:rsidTr="009F689E">
              <w:trPr>
                <w:trHeight w:val="288"/>
              </w:trPr>
              <w:tc>
                <w:tcPr>
                  <w:tcW w:w="2580" w:type="dxa"/>
                  <w:noWrap/>
                  <w:hideMark/>
                </w:tcPr>
                <w:p w14:paraId="2C7DB74B" w14:textId="77777777" w:rsidR="00FC7789" w:rsidRPr="00EB1F1D" w:rsidRDefault="00FC7789" w:rsidP="00FC7789">
                  <w:pPr>
                    <w:pStyle w:val="NumPara"/>
                    <w:jc w:val="left"/>
                    <w:rPr>
                      <w:rFonts w:asciiTheme="minorHAnsi" w:hAnsiTheme="minorHAnsi" w:cstheme="minorHAnsi"/>
                      <w:sz w:val="22"/>
                    </w:rPr>
                  </w:pPr>
                  <w:r w:rsidRPr="00EB1F1D">
                    <w:rPr>
                      <w:rFonts w:asciiTheme="minorHAnsi" w:hAnsiTheme="minorHAnsi" w:cstheme="minorHAnsi"/>
                      <w:sz w:val="22"/>
                    </w:rPr>
                    <w:t>Communities and Place</w:t>
                  </w:r>
                </w:p>
              </w:tc>
              <w:tc>
                <w:tcPr>
                  <w:tcW w:w="1276" w:type="dxa"/>
                  <w:noWrap/>
                  <w:hideMark/>
                </w:tcPr>
                <w:p w14:paraId="6DED826C"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£44,000</w:t>
                  </w:r>
                </w:p>
              </w:tc>
              <w:tc>
                <w:tcPr>
                  <w:tcW w:w="1276" w:type="dxa"/>
                  <w:noWrap/>
                  <w:hideMark/>
                </w:tcPr>
                <w:p w14:paraId="4BB162B1"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£402,000</w:t>
                  </w:r>
                </w:p>
              </w:tc>
              <w:tc>
                <w:tcPr>
                  <w:tcW w:w="1276" w:type="dxa"/>
                  <w:noWrap/>
                  <w:hideMark/>
                </w:tcPr>
                <w:p w14:paraId="6F240B12"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£446,000</w:t>
                  </w:r>
                </w:p>
              </w:tc>
              <w:tc>
                <w:tcPr>
                  <w:tcW w:w="850" w:type="dxa"/>
                  <w:noWrap/>
                  <w:hideMark/>
                </w:tcPr>
                <w:p w14:paraId="54C9AB85"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45%</w:t>
                  </w:r>
                </w:p>
              </w:tc>
            </w:tr>
            <w:tr w:rsidR="00FC7789" w:rsidRPr="00EB1F1D" w14:paraId="03405361" w14:textId="77777777" w:rsidTr="009F689E">
              <w:trPr>
                <w:trHeight w:val="288"/>
              </w:trPr>
              <w:tc>
                <w:tcPr>
                  <w:tcW w:w="2580" w:type="dxa"/>
                  <w:noWrap/>
                  <w:hideMark/>
                </w:tcPr>
                <w:p w14:paraId="62580C20" w14:textId="77777777" w:rsidR="00FC7789" w:rsidRPr="00EB1F1D" w:rsidRDefault="00FC7789" w:rsidP="00FC7789">
                  <w:pPr>
                    <w:pStyle w:val="NumPara"/>
                    <w:jc w:val="left"/>
                    <w:rPr>
                      <w:rFonts w:asciiTheme="minorHAnsi" w:hAnsiTheme="minorHAnsi" w:cstheme="minorHAnsi"/>
                      <w:sz w:val="22"/>
                    </w:rPr>
                  </w:pPr>
                  <w:r w:rsidRPr="00EB1F1D">
                    <w:rPr>
                      <w:rFonts w:asciiTheme="minorHAnsi" w:hAnsiTheme="minorHAnsi" w:cstheme="minorHAnsi"/>
                      <w:sz w:val="22"/>
                    </w:rPr>
                    <w:t>People and Skills</w:t>
                  </w:r>
                </w:p>
              </w:tc>
              <w:tc>
                <w:tcPr>
                  <w:tcW w:w="1276" w:type="dxa"/>
                  <w:noWrap/>
                  <w:hideMark/>
                </w:tcPr>
                <w:p w14:paraId="66D6237B" w14:textId="77777777" w:rsidR="00FC7789" w:rsidRPr="00EB1F1D" w:rsidRDefault="00FC7789" w:rsidP="00FC7789">
                  <w:pPr>
                    <w:pStyle w:val="NumPara"/>
                    <w:rPr>
                      <w:rFonts w:asciiTheme="minorHAnsi" w:hAnsiTheme="minorHAnsi" w:cstheme="minorHAnsi"/>
                      <w:sz w:val="22"/>
                    </w:rPr>
                  </w:pPr>
                </w:p>
              </w:tc>
              <w:tc>
                <w:tcPr>
                  <w:tcW w:w="1276" w:type="dxa"/>
                  <w:noWrap/>
                  <w:hideMark/>
                </w:tcPr>
                <w:p w14:paraId="401C0930"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£210,000</w:t>
                  </w:r>
                </w:p>
              </w:tc>
              <w:tc>
                <w:tcPr>
                  <w:tcW w:w="1276" w:type="dxa"/>
                  <w:noWrap/>
                  <w:hideMark/>
                </w:tcPr>
                <w:p w14:paraId="0E9958AC"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£210,000</w:t>
                  </w:r>
                </w:p>
              </w:tc>
              <w:tc>
                <w:tcPr>
                  <w:tcW w:w="850" w:type="dxa"/>
                  <w:noWrap/>
                  <w:hideMark/>
                </w:tcPr>
                <w:p w14:paraId="2BEB76FB"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21%</w:t>
                  </w:r>
                </w:p>
              </w:tc>
            </w:tr>
            <w:tr w:rsidR="00FC7789" w:rsidRPr="00EB1F1D" w14:paraId="05504A94" w14:textId="77777777" w:rsidTr="009F689E">
              <w:trPr>
                <w:trHeight w:val="288"/>
              </w:trPr>
              <w:tc>
                <w:tcPr>
                  <w:tcW w:w="2580" w:type="dxa"/>
                  <w:noWrap/>
                  <w:hideMark/>
                </w:tcPr>
                <w:p w14:paraId="55CB5BB2" w14:textId="77777777" w:rsidR="00FC7789" w:rsidRPr="00EB1F1D" w:rsidRDefault="00FC7789" w:rsidP="00FC7789">
                  <w:pPr>
                    <w:pStyle w:val="NumPara"/>
                    <w:jc w:val="left"/>
                    <w:rPr>
                      <w:rFonts w:asciiTheme="minorHAnsi" w:hAnsiTheme="minorHAnsi" w:cstheme="minorHAnsi"/>
                      <w:sz w:val="22"/>
                    </w:rPr>
                  </w:pPr>
                  <w:r w:rsidRPr="00EB1F1D">
                    <w:rPr>
                      <w:rFonts w:asciiTheme="minorHAnsi" w:hAnsiTheme="minorHAnsi" w:cstheme="minorHAnsi"/>
                      <w:sz w:val="22"/>
                    </w:rPr>
                    <w:t>Supporting Local Business</w:t>
                  </w:r>
                </w:p>
              </w:tc>
              <w:tc>
                <w:tcPr>
                  <w:tcW w:w="1276" w:type="dxa"/>
                  <w:noWrap/>
                  <w:hideMark/>
                </w:tcPr>
                <w:p w14:paraId="7589A2FD"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£229,293</w:t>
                  </w:r>
                </w:p>
              </w:tc>
              <w:tc>
                <w:tcPr>
                  <w:tcW w:w="1276" w:type="dxa"/>
                  <w:noWrap/>
                  <w:hideMark/>
                </w:tcPr>
                <w:p w14:paraId="3C3EC743"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£96,007</w:t>
                  </w:r>
                </w:p>
              </w:tc>
              <w:tc>
                <w:tcPr>
                  <w:tcW w:w="1276" w:type="dxa"/>
                  <w:noWrap/>
                  <w:hideMark/>
                </w:tcPr>
                <w:p w14:paraId="4F6F18DA"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£325,300</w:t>
                  </w:r>
                </w:p>
              </w:tc>
              <w:tc>
                <w:tcPr>
                  <w:tcW w:w="850" w:type="dxa"/>
                  <w:noWrap/>
                  <w:hideMark/>
                </w:tcPr>
                <w:p w14:paraId="74192FEB"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33%</w:t>
                  </w:r>
                </w:p>
              </w:tc>
            </w:tr>
            <w:tr w:rsidR="00FC7789" w:rsidRPr="00EB1F1D" w14:paraId="1EA563A8" w14:textId="77777777" w:rsidTr="009F689E">
              <w:trPr>
                <w:trHeight w:val="288"/>
              </w:trPr>
              <w:tc>
                <w:tcPr>
                  <w:tcW w:w="2580" w:type="dxa"/>
                  <w:noWrap/>
                  <w:hideMark/>
                </w:tcPr>
                <w:p w14:paraId="7449BB25" w14:textId="77777777" w:rsidR="00FC7789" w:rsidRPr="00EB1F1D" w:rsidRDefault="00FC7789" w:rsidP="00FC7789">
                  <w:pPr>
                    <w:pStyle w:val="NumPara"/>
                    <w:jc w:val="left"/>
                    <w:rPr>
                      <w:rFonts w:asciiTheme="minorHAnsi" w:hAnsiTheme="minorHAnsi" w:cstheme="minorHAnsi"/>
                      <w:sz w:val="22"/>
                    </w:rPr>
                  </w:pPr>
                  <w:r w:rsidRPr="00EB1F1D">
                    <w:rPr>
                      <w:rFonts w:asciiTheme="minorHAnsi" w:hAnsiTheme="minorHAnsi" w:cstheme="minorHAnsi"/>
                      <w:sz w:val="22"/>
                    </w:rPr>
                    <w:t>Monitoring and Admin</w:t>
                  </w:r>
                </w:p>
              </w:tc>
              <w:tc>
                <w:tcPr>
                  <w:tcW w:w="1276" w:type="dxa"/>
                  <w:noWrap/>
                  <w:hideMark/>
                </w:tcPr>
                <w:p w14:paraId="4B9D8129"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£3,700</w:t>
                  </w:r>
                </w:p>
              </w:tc>
              <w:tc>
                <w:tcPr>
                  <w:tcW w:w="1276" w:type="dxa"/>
                  <w:noWrap/>
                  <w:hideMark/>
                </w:tcPr>
                <w:p w14:paraId="7470F282"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£15,000</w:t>
                  </w:r>
                </w:p>
              </w:tc>
              <w:tc>
                <w:tcPr>
                  <w:tcW w:w="1276" w:type="dxa"/>
                  <w:noWrap/>
                  <w:hideMark/>
                </w:tcPr>
                <w:p w14:paraId="2C1465A8"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£18,700</w:t>
                  </w:r>
                </w:p>
              </w:tc>
              <w:tc>
                <w:tcPr>
                  <w:tcW w:w="850" w:type="dxa"/>
                  <w:noWrap/>
                  <w:hideMark/>
                </w:tcPr>
                <w:p w14:paraId="258C9E66" w14:textId="77777777" w:rsidR="00FC7789" w:rsidRPr="00EB1F1D" w:rsidRDefault="00FC7789" w:rsidP="00FC7789">
                  <w:pPr>
                    <w:pStyle w:val="NumPara"/>
                    <w:rPr>
                      <w:rFonts w:asciiTheme="minorHAnsi" w:hAnsiTheme="minorHAnsi" w:cstheme="minorHAnsi"/>
                      <w:sz w:val="22"/>
                    </w:rPr>
                  </w:pPr>
                  <w:r w:rsidRPr="00EB1F1D">
                    <w:rPr>
                      <w:rFonts w:asciiTheme="minorHAnsi" w:hAnsiTheme="minorHAnsi" w:cstheme="minorHAnsi"/>
                      <w:sz w:val="22"/>
                    </w:rPr>
                    <w:t>2%</w:t>
                  </w:r>
                </w:p>
              </w:tc>
            </w:tr>
            <w:tr w:rsidR="00FC7789" w:rsidRPr="00EB1F1D" w14:paraId="50ED2996" w14:textId="77777777" w:rsidTr="009F689E">
              <w:trPr>
                <w:trHeight w:val="288"/>
              </w:trPr>
              <w:tc>
                <w:tcPr>
                  <w:tcW w:w="2580" w:type="dxa"/>
                  <w:noWrap/>
                  <w:hideMark/>
                </w:tcPr>
                <w:p w14:paraId="49ECEB23" w14:textId="77777777" w:rsidR="00FC7789" w:rsidRPr="00EC05BF" w:rsidRDefault="00FC7789" w:rsidP="00FC7789">
                  <w:pPr>
                    <w:pStyle w:val="NumPara"/>
                    <w:jc w:val="left"/>
                    <w:rPr>
                      <w:rFonts w:asciiTheme="minorHAnsi" w:hAnsiTheme="minorHAnsi" w:cstheme="minorHAnsi"/>
                      <w:b/>
                      <w:sz w:val="22"/>
                    </w:rPr>
                  </w:pPr>
                  <w:r w:rsidRPr="00EC05BF">
                    <w:rPr>
                      <w:rFonts w:asciiTheme="minorHAnsi" w:hAnsiTheme="minorHAnsi" w:cstheme="minorHAnsi"/>
                      <w:b/>
                      <w:sz w:val="22"/>
                    </w:rPr>
                    <w:t>Total</w:t>
                  </w:r>
                </w:p>
              </w:tc>
              <w:tc>
                <w:tcPr>
                  <w:tcW w:w="1276" w:type="dxa"/>
                  <w:noWrap/>
                  <w:hideMark/>
                </w:tcPr>
                <w:p w14:paraId="21058604" w14:textId="77777777" w:rsidR="00FC7789" w:rsidRPr="00EC05BF" w:rsidRDefault="00FC7789" w:rsidP="00FC7789">
                  <w:pPr>
                    <w:pStyle w:val="NumPara"/>
                    <w:rPr>
                      <w:rFonts w:asciiTheme="minorHAnsi" w:hAnsiTheme="minorHAnsi" w:cstheme="minorHAnsi"/>
                      <w:b/>
                      <w:sz w:val="22"/>
                    </w:rPr>
                  </w:pPr>
                  <w:r w:rsidRPr="00EC05BF">
                    <w:rPr>
                      <w:rFonts w:asciiTheme="minorHAnsi" w:hAnsiTheme="minorHAnsi" w:cstheme="minorHAnsi"/>
                      <w:b/>
                      <w:sz w:val="22"/>
                    </w:rPr>
                    <w:t>£276,993</w:t>
                  </w:r>
                </w:p>
              </w:tc>
              <w:tc>
                <w:tcPr>
                  <w:tcW w:w="1276" w:type="dxa"/>
                  <w:noWrap/>
                  <w:hideMark/>
                </w:tcPr>
                <w:p w14:paraId="6BF31B4C" w14:textId="77777777" w:rsidR="00FC7789" w:rsidRPr="00EC05BF" w:rsidRDefault="00FC7789" w:rsidP="00FC7789">
                  <w:pPr>
                    <w:pStyle w:val="NumPara"/>
                    <w:rPr>
                      <w:rFonts w:asciiTheme="minorHAnsi" w:hAnsiTheme="minorHAnsi" w:cstheme="minorHAnsi"/>
                      <w:b/>
                      <w:sz w:val="22"/>
                    </w:rPr>
                  </w:pPr>
                  <w:r w:rsidRPr="00EC05BF">
                    <w:rPr>
                      <w:rFonts w:asciiTheme="minorHAnsi" w:hAnsiTheme="minorHAnsi" w:cstheme="minorHAnsi"/>
                      <w:b/>
                      <w:sz w:val="22"/>
                    </w:rPr>
                    <w:t>£723,007</w:t>
                  </w:r>
                </w:p>
              </w:tc>
              <w:tc>
                <w:tcPr>
                  <w:tcW w:w="1276" w:type="dxa"/>
                  <w:noWrap/>
                  <w:hideMark/>
                </w:tcPr>
                <w:p w14:paraId="686B1643" w14:textId="77777777" w:rsidR="00FC7789" w:rsidRPr="00EC05BF" w:rsidRDefault="00FC7789" w:rsidP="00FC7789">
                  <w:pPr>
                    <w:pStyle w:val="NumPara"/>
                    <w:rPr>
                      <w:rFonts w:asciiTheme="minorHAnsi" w:hAnsiTheme="minorHAnsi" w:cstheme="minorHAnsi"/>
                      <w:b/>
                      <w:sz w:val="22"/>
                    </w:rPr>
                  </w:pPr>
                  <w:r w:rsidRPr="00EC05BF">
                    <w:rPr>
                      <w:rFonts w:asciiTheme="minorHAnsi" w:hAnsiTheme="minorHAnsi" w:cstheme="minorHAnsi"/>
                      <w:b/>
                      <w:sz w:val="22"/>
                    </w:rPr>
                    <w:t>£1,000,000</w:t>
                  </w:r>
                </w:p>
              </w:tc>
              <w:tc>
                <w:tcPr>
                  <w:tcW w:w="850" w:type="dxa"/>
                  <w:noWrap/>
                  <w:hideMark/>
                </w:tcPr>
                <w:p w14:paraId="6F41F8A8" w14:textId="77777777" w:rsidR="00FC7789" w:rsidRPr="00EC05BF" w:rsidRDefault="00FC7789" w:rsidP="00FC7789">
                  <w:pPr>
                    <w:pStyle w:val="NumPara"/>
                    <w:rPr>
                      <w:rFonts w:asciiTheme="minorHAnsi" w:hAnsiTheme="minorHAnsi" w:cstheme="minorHAnsi"/>
                      <w:b/>
                      <w:sz w:val="22"/>
                    </w:rPr>
                  </w:pPr>
                  <w:r w:rsidRPr="00EC05BF">
                    <w:rPr>
                      <w:rFonts w:asciiTheme="minorHAnsi" w:hAnsiTheme="minorHAnsi" w:cstheme="minorHAnsi"/>
                      <w:b/>
                      <w:sz w:val="22"/>
                    </w:rPr>
                    <w:t>100%</w:t>
                  </w:r>
                </w:p>
              </w:tc>
            </w:tr>
            <w:bookmarkEnd w:id="1"/>
          </w:tbl>
          <w:p w14:paraId="3A6A058F" w14:textId="76F9B2D4" w:rsidR="00FA4DBB" w:rsidRPr="00963A84" w:rsidRDefault="00FA4DBB" w:rsidP="00FC7789">
            <w:pPr>
              <w:rPr>
                <w:rFonts w:ascii="Arial" w:hAnsi="Arial" w:cs="Arial"/>
              </w:rPr>
            </w:pPr>
          </w:p>
        </w:tc>
      </w:tr>
      <w:tr w:rsidR="00373F5D" w14:paraId="3A6A0593" w14:textId="77777777" w:rsidTr="00323BB1">
        <w:tc>
          <w:tcPr>
            <w:tcW w:w="2440" w:type="dxa"/>
          </w:tcPr>
          <w:p w14:paraId="3A6A0591" w14:textId="7DC1794B" w:rsidR="00373F5D" w:rsidRPr="00373F5D" w:rsidRDefault="00373F5D" w:rsidP="00C678ED">
            <w:pPr>
              <w:spacing w:before="120" w:after="120"/>
              <w:rPr>
                <w:rFonts w:ascii="Arial" w:hAnsi="Arial" w:cs="Arial"/>
              </w:rPr>
            </w:pPr>
            <w:r>
              <w:rPr>
                <w:rFonts w:ascii="Arial" w:hAnsi="Arial" w:cs="Arial"/>
                <w:b/>
              </w:rPr>
              <w:lastRenderedPageBreak/>
              <w:t>Purpose:</w:t>
            </w:r>
          </w:p>
        </w:tc>
        <w:tc>
          <w:tcPr>
            <w:tcW w:w="7526" w:type="dxa"/>
          </w:tcPr>
          <w:p w14:paraId="69C740D3" w14:textId="6376DDEA" w:rsidR="00FF33BE" w:rsidRDefault="009B116B" w:rsidP="00835E30">
            <w:pPr>
              <w:rPr>
                <w:rFonts w:ascii="Arial" w:hAnsi="Arial" w:cs="Arial"/>
              </w:rPr>
            </w:pPr>
            <w:bookmarkStart w:id="2" w:name="_Hlk163811096"/>
            <w:r>
              <w:rPr>
                <w:rFonts w:ascii="Arial" w:hAnsi="Arial" w:cs="Arial"/>
              </w:rPr>
              <w:t>The decision a</w:t>
            </w:r>
            <w:r w:rsidR="003715BC">
              <w:rPr>
                <w:rFonts w:ascii="Arial" w:hAnsi="Arial" w:cs="Arial"/>
              </w:rPr>
              <w:t xml:space="preserve">chieves a balanced spend profile which will support </w:t>
            </w:r>
            <w:r w:rsidR="00835E30">
              <w:rPr>
                <w:rFonts w:ascii="Arial" w:hAnsi="Arial" w:cs="Arial"/>
              </w:rPr>
              <w:t>the UKSPF programme objectives.</w:t>
            </w:r>
            <w:bookmarkEnd w:id="2"/>
            <w:r w:rsidR="00835E30">
              <w:rPr>
                <w:rFonts w:ascii="Arial" w:hAnsi="Arial" w:cs="Arial"/>
              </w:rPr>
              <w:t xml:space="preserve"> </w:t>
            </w:r>
          </w:p>
          <w:p w14:paraId="3A6A0592" w14:textId="6445EDF8" w:rsidR="009B116B" w:rsidRPr="00FF33BE" w:rsidRDefault="009B116B" w:rsidP="00835E30">
            <w:pPr>
              <w:rPr>
                <w:rFonts w:ascii="Arial" w:hAnsi="Arial" w:cs="Arial"/>
              </w:rPr>
            </w:pPr>
          </w:p>
        </w:tc>
      </w:tr>
      <w:tr w:rsidR="00DC2E8D" w14:paraId="3A6A0596" w14:textId="77777777" w:rsidTr="00323BB1">
        <w:tc>
          <w:tcPr>
            <w:tcW w:w="2440" w:type="dxa"/>
          </w:tcPr>
          <w:p w14:paraId="3A6A0594" w14:textId="0257257D"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7526" w:type="dxa"/>
          </w:tcPr>
          <w:p w14:paraId="49F4505E" w14:textId="033F8822" w:rsidR="005E21C9" w:rsidRDefault="005E21C9" w:rsidP="005E21C9">
            <w:pPr>
              <w:rPr>
                <w:rFonts w:ascii="Arial" w:hAnsi="Arial" w:cs="Arial"/>
              </w:rPr>
            </w:pPr>
            <w:bookmarkStart w:id="3" w:name="_Hlk163811020"/>
            <w:r>
              <w:rPr>
                <w:rFonts w:ascii="Arial" w:hAnsi="Arial" w:cs="Arial"/>
              </w:rPr>
              <w:t>The decision delivers a</w:t>
            </w:r>
            <w:r w:rsidR="00323BB1">
              <w:rPr>
                <w:rFonts w:ascii="Arial" w:hAnsi="Arial" w:cs="Arial"/>
              </w:rPr>
              <w:t>n achievable</w:t>
            </w:r>
            <w:r>
              <w:rPr>
                <w:rFonts w:ascii="Arial" w:hAnsi="Arial" w:cs="Arial"/>
              </w:rPr>
              <w:t xml:space="preserve"> balance of course delivery </w:t>
            </w:r>
            <w:r w:rsidR="00323BB1">
              <w:rPr>
                <w:rFonts w:ascii="Arial" w:hAnsi="Arial" w:cs="Arial"/>
              </w:rPr>
              <w:t xml:space="preserve">whilst stimulating </w:t>
            </w:r>
            <w:r w:rsidR="001F522D">
              <w:rPr>
                <w:rFonts w:ascii="Arial" w:hAnsi="Arial" w:cs="Arial"/>
              </w:rPr>
              <w:t xml:space="preserve">the </w:t>
            </w:r>
            <w:r w:rsidR="00835E30">
              <w:rPr>
                <w:rFonts w:ascii="Arial" w:hAnsi="Arial" w:cs="Arial"/>
              </w:rPr>
              <w:t xml:space="preserve">provider </w:t>
            </w:r>
            <w:r w:rsidR="001F522D">
              <w:rPr>
                <w:rFonts w:ascii="Arial" w:hAnsi="Arial" w:cs="Arial"/>
              </w:rPr>
              <w:t xml:space="preserve">market and </w:t>
            </w:r>
            <w:r w:rsidR="00835E30">
              <w:rPr>
                <w:rFonts w:ascii="Arial" w:hAnsi="Arial" w:cs="Arial"/>
              </w:rPr>
              <w:t xml:space="preserve">generating </w:t>
            </w:r>
            <w:r w:rsidR="001F522D">
              <w:rPr>
                <w:rFonts w:ascii="Arial" w:hAnsi="Arial" w:cs="Arial"/>
              </w:rPr>
              <w:t>demand for green skills</w:t>
            </w:r>
            <w:r w:rsidR="00835E30">
              <w:rPr>
                <w:rFonts w:ascii="Arial" w:hAnsi="Arial" w:cs="Arial"/>
              </w:rPr>
              <w:t xml:space="preserve"> in a range of contexts. </w:t>
            </w:r>
          </w:p>
          <w:p w14:paraId="37563F24" w14:textId="77777777" w:rsidR="00455784" w:rsidRDefault="00455784" w:rsidP="005E21C9">
            <w:pPr>
              <w:rPr>
                <w:rFonts w:ascii="Arial" w:hAnsi="Arial" w:cs="Arial"/>
              </w:rPr>
            </w:pPr>
          </w:p>
          <w:p w14:paraId="01AB1B09" w14:textId="4D49AA58" w:rsidR="003715BC" w:rsidRDefault="001F522D" w:rsidP="003715BC">
            <w:pPr>
              <w:pStyle w:val="NumPara"/>
            </w:pPr>
            <w:r>
              <w:t>P</w:t>
            </w:r>
            <w:r w:rsidR="003715BC">
              <w:t>rojects are expected to exceed the forecast UKSPF outputs of:</w:t>
            </w:r>
          </w:p>
          <w:p w14:paraId="2E3CDEF2" w14:textId="5F6E38EF" w:rsidR="003715BC" w:rsidRPr="003E6786" w:rsidRDefault="003715BC" w:rsidP="005E21C9">
            <w:pPr>
              <w:pStyle w:val="NumPara"/>
              <w:numPr>
                <w:ilvl w:val="0"/>
                <w:numId w:val="10"/>
              </w:numPr>
            </w:pPr>
            <w:r>
              <w:t xml:space="preserve">(at least) 50 </w:t>
            </w:r>
            <w:r w:rsidRPr="009338F8">
              <w:rPr>
                <w:i/>
              </w:rPr>
              <w:t xml:space="preserve">people </w:t>
            </w:r>
            <w:r>
              <w:rPr>
                <w:i/>
              </w:rPr>
              <w:t>achieving a qualification or completing a course</w:t>
            </w:r>
            <w:r w:rsidRPr="009338F8">
              <w:rPr>
                <w:i/>
              </w:rPr>
              <w:t>.</w:t>
            </w:r>
            <w:r>
              <w:t xml:space="preserve"> </w:t>
            </w:r>
          </w:p>
          <w:p w14:paraId="3A6A0595" w14:textId="41CA6F19" w:rsidR="00FE40CE" w:rsidRPr="009B116B" w:rsidRDefault="003715BC" w:rsidP="00FA4DBB">
            <w:pPr>
              <w:pStyle w:val="NumPara"/>
              <w:numPr>
                <w:ilvl w:val="0"/>
                <w:numId w:val="10"/>
              </w:numPr>
              <w:rPr>
                <w:i/>
              </w:rPr>
            </w:pPr>
            <w:r>
              <w:t xml:space="preserve">(at least) </w:t>
            </w:r>
            <w:r w:rsidRPr="009338F8">
              <w:rPr>
                <w:i/>
              </w:rPr>
              <w:t>40 people supported to be closer to skills and labour market opportunities.</w:t>
            </w:r>
            <w:bookmarkEnd w:id="3"/>
          </w:p>
        </w:tc>
      </w:tr>
      <w:tr w:rsidR="00B87695" w14:paraId="3A6A0599" w14:textId="77777777" w:rsidTr="00323BB1">
        <w:tc>
          <w:tcPr>
            <w:tcW w:w="2440" w:type="dxa"/>
          </w:tcPr>
          <w:p w14:paraId="3A6A0597" w14:textId="0E14EA33" w:rsidR="00B87695" w:rsidRPr="00B87695" w:rsidRDefault="00B87695" w:rsidP="00C678ED">
            <w:pPr>
              <w:spacing w:before="120" w:after="120"/>
              <w:rPr>
                <w:rFonts w:ascii="Arial" w:hAnsi="Arial" w:cs="Arial"/>
              </w:rPr>
            </w:pPr>
            <w:r w:rsidRPr="00B87695">
              <w:rPr>
                <w:rFonts w:ascii="Arial" w:hAnsi="Arial" w:cs="Arial"/>
                <w:b/>
              </w:rPr>
              <w:t xml:space="preserve">Decision made by: </w:t>
            </w:r>
          </w:p>
        </w:tc>
        <w:tc>
          <w:tcPr>
            <w:tcW w:w="7526" w:type="dxa"/>
          </w:tcPr>
          <w:p w14:paraId="3A6A0598" w14:textId="797CD19B" w:rsidR="00E97024" w:rsidRPr="00A96C08" w:rsidRDefault="003C7B81" w:rsidP="008A22C6">
            <w:pPr>
              <w:rPr>
                <w:rFonts w:ascii="Arial" w:hAnsi="Arial" w:cs="Arial"/>
              </w:rPr>
            </w:pPr>
            <w:r>
              <w:rPr>
                <w:rFonts w:ascii="Arial" w:hAnsi="Arial" w:cs="Arial"/>
              </w:rPr>
              <w:t>Tom Bridgman</w:t>
            </w:r>
            <w:r w:rsidR="00D02D78">
              <w:rPr>
                <w:rFonts w:ascii="Arial" w:hAnsi="Arial" w:cs="Arial"/>
              </w:rPr>
              <w:t xml:space="preserve">, Executive </w:t>
            </w:r>
            <w:r>
              <w:rPr>
                <w:rFonts w:ascii="Arial" w:hAnsi="Arial" w:cs="Arial"/>
              </w:rPr>
              <w:t xml:space="preserve">Director </w:t>
            </w:r>
            <w:r w:rsidR="00D02D78">
              <w:rPr>
                <w:rFonts w:ascii="Arial" w:hAnsi="Arial" w:cs="Arial"/>
              </w:rPr>
              <w:t>(</w:t>
            </w:r>
            <w:r>
              <w:rPr>
                <w:rFonts w:ascii="Arial" w:hAnsi="Arial" w:cs="Arial"/>
              </w:rPr>
              <w:t>Development</w:t>
            </w:r>
            <w:r w:rsidR="00D02D78">
              <w:rPr>
                <w:rFonts w:ascii="Arial" w:hAnsi="Arial" w:cs="Arial"/>
              </w:rPr>
              <w:t>)</w:t>
            </w:r>
          </w:p>
        </w:tc>
      </w:tr>
      <w:tr w:rsidR="006F6326" w14:paraId="3A6A059C" w14:textId="77777777" w:rsidTr="00323BB1">
        <w:tc>
          <w:tcPr>
            <w:tcW w:w="2440" w:type="dxa"/>
          </w:tcPr>
          <w:p w14:paraId="3A6A059A" w14:textId="53697161"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7526" w:type="dxa"/>
          </w:tcPr>
          <w:p w14:paraId="55E8E799" w14:textId="0850586B" w:rsidR="00FC7789" w:rsidRDefault="00FC7789" w:rsidP="00FC7789">
            <w:pPr>
              <w:rPr>
                <w:rFonts w:ascii="Arial" w:hAnsi="Arial" w:cs="Arial"/>
              </w:rPr>
            </w:pPr>
            <w:bookmarkStart w:id="4" w:name="_Hlk163826997"/>
            <w:r>
              <w:rPr>
                <w:rFonts w:ascii="Arial" w:hAnsi="Arial" w:cs="Arial"/>
              </w:rPr>
              <w:t xml:space="preserve">Course Delivery - Considered alternative options for delivery of courses, including </w:t>
            </w:r>
            <w:r w:rsidRPr="001F522D">
              <w:rPr>
                <w:rFonts w:ascii="Arial" w:hAnsi="Arial" w:cs="Arial"/>
              </w:rPr>
              <w:t>block-buying a set number places through a local college</w:t>
            </w:r>
            <w:r>
              <w:rPr>
                <w:rFonts w:ascii="Arial" w:hAnsi="Arial" w:cs="Arial"/>
              </w:rPr>
              <w:t xml:space="preserve">, and allocating the funding directly to strategic partners. The chosen option achieves a balanced range of delivery </w:t>
            </w:r>
            <w:proofErr w:type="gramStart"/>
            <w:r>
              <w:rPr>
                <w:rFonts w:ascii="Arial" w:hAnsi="Arial" w:cs="Arial"/>
              </w:rPr>
              <w:t>routes, and</w:t>
            </w:r>
            <w:proofErr w:type="gramEnd"/>
            <w:r>
              <w:rPr>
                <w:rFonts w:ascii="Arial" w:hAnsi="Arial" w:cs="Arial"/>
              </w:rPr>
              <w:t xml:space="preserve"> allows for an open and transparent allocation of funding. </w:t>
            </w:r>
          </w:p>
          <w:p w14:paraId="6309C9A6" w14:textId="77777777" w:rsidR="00FC7789" w:rsidRDefault="00FC7789" w:rsidP="00FC7789">
            <w:pPr>
              <w:rPr>
                <w:rFonts w:ascii="Arial" w:hAnsi="Arial" w:cs="Arial"/>
              </w:rPr>
            </w:pPr>
          </w:p>
          <w:p w14:paraId="13F0649B" w14:textId="77777777" w:rsidR="00517215" w:rsidRDefault="00FC7789" w:rsidP="00FC7789">
            <w:pPr>
              <w:rPr>
                <w:rFonts w:ascii="Arial" w:hAnsi="Arial" w:cs="Arial"/>
              </w:rPr>
            </w:pPr>
            <w:r>
              <w:rPr>
                <w:rFonts w:ascii="Arial" w:hAnsi="Arial" w:cs="Arial"/>
              </w:rPr>
              <w:t>Demand Stimulation – considered a range of options including commissioning a new service or delivering the outreach and triage services through in house teams.</w:t>
            </w:r>
          </w:p>
          <w:bookmarkEnd w:id="4"/>
          <w:p w14:paraId="3A6A059B" w14:textId="4346F34B" w:rsidR="00FC7789" w:rsidRPr="003C7B81" w:rsidRDefault="00FC7789" w:rsidP="00FC7789">
            <w:pPr>
              <w:rPr>
                <w:rFonts w:ascii="Arial" w:hAnsi="Arial" w:cs="Arial"/>
              </w:rPr>
            </w:pPr>
          </w:p>
        </w:tc>
      </w:tr>
      <w:tr w:rsidR="006F6326" w14:paraId="3A6A059F" w14:textId="77777777" w:rsidTr="007B380A">
        <w:tc>
          <w:tcPr>
            <w:tcW w:w="2440" w:type="dxa"/>
          </w:tcPr>
          <w:p w14:paraId="3A6A059D" w14:textId="0E05C0A8"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p>
        </w:tc>
        <w:tc>
          <w:tcPr>
            <w:tcW w:w="7526" w:type="dxa"/>
          </w:tcPr>
          <w:p w14:paraId="3A6A059E" w14:textId="28D0FCCE" w:rsidR="006F6326" w:rsidRPr="00A96C08" w:rsidRDefault="007B380A" w:rsidP="008A22C6">
            <w:pPr>
              <w:rPr>
                <w:rFonts w:ascii="Arial" w:hAnsi="Arial" w:cs="Arial"/>
              </w:rPr>
            </w:pPr>
            <w:r>
              <w:rPr>
                <w:rFonts w:ascii="Arial" w:hAnsi="Arial" w:cs="Arial"/>
              </w:rPr>
              <w:t>None</w:t>
            </w:r>
          </w:p>
        </w:tc>
      </w:tr>
      <w:tr w:rsidR="006F6326" w14:paraId="3A6A05A2" w14:textId="77777777" w:rsidTr="00323BB1">
        <w:tc>
          <w:tcPr>
            <w:tcW w:w="2440" w:type="dxa"/>
          </w:tcPr>
          <w:p w14:paraId="3A6A05A0" w14:textId="0F2F81B0"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7526" w:type="dxa"/>
          </w:tcPr>
          <w:p w14:paraId="3A6A05A1" w14:textId="4682426A" w:rsidR="006F6326" w:rsidRPr="00A96C08" w:rsidRDefault="00FF33BE" w:rsidP="008A22C6">
            <w:pPr>
              <w:rPr>
                <w:rFonts w:ascii="Arial" w:hAnsi="Arial" w:cs="Arial"/>
              </w:rPr>
            </w:pPr>
            <w:r>
              <w:rPr>
                <w:rFonts w:ascii="Arial" w:hAnsi="Arial" w:cs="Arial"/>
              </w:rPr>
              <w:t>Not key</w:t>
            </w:r>
          </w:p>
        </w:tc>
      </w:tr>
      <w:tr w:rsidR="006F6326" w14:paraId="3A6A05A5" w14:textId="77777777" w:rsidTr="00323BB1">
        <w:tc>
          <w:tcPr>
            <w:tcW w:w="2440" w:type="dxa"/>
          </w:tcPr>
          <w:p w14:paraId="3A6A05A3" w14:textId="2C8F028C"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7526" w:type="dxa"/>
          </w:tcPr>
          <w:p w14:paraId="3A6A05A4" w14:textId="7583C027" w:rsidR="006F6326" w:rsidRPr="00A96C08" w:rsidRDefault="00837BD8" w:rsidP="008A22C6">
            <w:pPr>
              <w:rPr>
                <w:rFonts w:ascii="Arial" w:hAnsi="Arial" w:cs="Arial"/>
              </w:rPr>
            </w:pPr>
            <w:r>
              <w:rPr>
                <w:rFonts w:ascii="Arial" w:hAnsi="Arial" w:cs="Arial"/>
              </w:rPr>
              <w:t>N</w:t>
            </w:r>
            <w:r w:rsidR="009B116B">
              <w:rPr>
                <w:rFonts w:ascii="Arial" w:hAnsi="Arial" w:cs="Arial"/>
              </w:rPr>
              <w:t>one</w:t>
            </w:r>
          </w:p>
        </w:tc>
      </w:tr>
      <w:tr w:rsidR="006F6326" w14:paraId="3A6A05A8" w14:textId="77777777" w:rsidTr="00323BB1">
        <w:tc>
          <w:tcPr>
            <w:tcW w:w="2440" w:type="dxa"/>
          </w:tcPr>
          <w:p w14:paraId="3A6A05A6" w14:textId="056184E3"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p>
        </w:tc>
        <w:tc>
          <w:tcPr>
            <w:tcW w:w="7526" w:type="dxa"/>
          </w:tcPr>
          <w:p w14:paraId="3A6A05A7" w14:textId="71795224" w:rsidR="006F6326" w:rsidRPr="00A96C08" w:rsidRDefault="00837BD8" w:rsidP="008A22C6">
            <w:pPr>
              <w:rPr>
                <w:rFonts w:ascii="Arial" w:hAnsi="Arial" w:cs="Arial"/>
              </w:rPr>
            </w:pPr>
            <w:r>
              <w:rPr>
                <w:rFonts w:ascii="Arial" w:hAnsi="Arial" w:cs="Arial"/>
              </w:rPr>
              <w:t>N</w:t>
            </w:r>
            <w:r w:rsidR="009B116B">
              <w:rPr>
                <w:rFonts w:ascii="Arial" w:hAnsi="Arial" w:cs="Arial"/>
              </w:rPr>
              <w:t>one</w:t>
            </w:r>
          </w:p>
        </w:tc>
      </w:tr>
      <w:tr w:rsidR="00B87695" w14:paraId="3A6A05AD" w14:textId="77777777" w:rsidTr="00323BB1">
        <w:tc>
          <w:tcPr>
            <w:tcW w:w="2440" w:type="dxa"/>
          </w:tcPr>
          <w:p w14:paraId="3A6A05A9"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3A6A05AA" w14:textId="77777777" w:rsidR="003505E0" w:rsidRDefault="003505E0" w:rsidP="003505E0">
            <w:pPr>
              <w:spacing w:before="120"/>
              <w:rPr>
                <w:rFonts w:ascii="Arial" w:hAnsi="Arial" w:cs="Arial"/>
                <w:b/>
              </w:rPr>
            </w:pPr>
            <w:r w:rsidRPr="003505E0">
              <w:rPr>
                <w:rFonts w:ascii="Arial" w:hAnsi="Arial" w:cs="Arial"/>
                <w:b/>
              </w:rPr>
              <w:t>Name &amp; title:</w:t>
            </w:r>
          </w:p>
          <w:p w14:paraId="3A6A05AB" w14:textId="77777777" w:rsidR="003505E0" w:rsidRDefault="003505E0" w:rsidP="00AC5899">
            <w:pPr>
              <w:spacing w:before="120" w:after="120"/>
              <w:rPr>
                <w:rFonts w:ascii="Arial" w:hAnsi="Arial" w:cs="Arial"/>
                <w:b/>
              </w:rPr>
            </w:pPr>
            <w:r w:rsidRPr="003505E0">
              <w:rPr>
                <w:rFonts w:ascii="Arial" w:hAnsi="Arial" w:cs="Arial"/>
                <w:b/>
              </w:rPr>
              <w:lastRenderedPageBreak/>
              <w:t>Date:</w:t>
            </w:r>
          </w:p>
        </w:tc>
        <w:tc>
          <w:tcPr>
            <w:tcW w:w="7526" w:type="dxa"/>
          </w:tcPr>
          <w:p w14:paraId="2FF0A484" w14:textId="77777777" w:rsidR="00960744" w:rsidRDefault="00837BD8" w:rsidP="008A22C6">
            <w:pPr>
              <w:rPr>
                <w:rFonts w:ascii="Arial" w:hAnsi="Arial" w:cs="Arial"/>
              </w:rPr>
            </w:pPr>
            <w:r>
              <w:rPr>
                <w:rFonts w:ascii="Arial" w:hAnsi="Arial" w:cs="Arial"/>
              </w:rPr>
              <w:lastRenderedPageBreak/>
              <w:t>Simon Grove-White</w:t>
            </w:r>
          </w:p>
          <w:p w14:paraId="7ECE1957" w14:textId="6D45DAE2" w:rsidR="00837BD8" w:rsidRDefault="00C207CC" w:rsidP="008A22C6">
            <w:pPr>
              <w:rPr>
                <w:rFonts w:ascii="Arial" w:hAnsi="Arial" w:cs="Arial"/>
              </w:rPr>
            </w:pPr>
            <w:r>
              <w:rPr>
                <w:rFonts w:ascii="Arial" w:hAnsi="Arial" w:cs="Arial"/>
              </w:rPr>
              <w:t>Principal Regeneration and E</w:t>
            </w:r>
            <w:r w:rsidR="00837BD8">
              <w:rPr>
                <w:rFonts w:ascii="Arial" w:hAnsi="Arial" w:cs="Arial"/>
              </w:rPr>
              <w:t>conomic Development Officer</w:t>
            </w:r>
          </w:p>
          <w:p w14:paraId="43AF2900" w14:textId="77777777" w:rsidR="00837BD8" w:rsidRDefault="00837BD8" w:rsidP="008A22C6">
            <w:pPr>
              <w:rPr>
                <w:rFonts w:ascii="Arial" w:hAnsi="Arial" w:cs="Arial"/>
              </w:rPr>
            </w:pPr>
          </w:p>
          <w:p w14:paraId="3A6A05AC" w14:textId="51C2524D" w:rsidR="00837BD8" w:rsidRPr="00A96C08" w:rsidRDefault="00323BB1" w:rsidP="008A22C6">
            <w:pPr>
              <w:rPr>
                <w:rFonts w:ascii="Arial" w:hAnsi="Arial" w:cs="Arial"/>
              </w:rPr>
            </w:pPr>
            <w:r>
              <w:rPr>
                <w:rFonts w:ascii="Arial" w:hAnsi="Arial" w:cs="Arial"/>
              </w:rPr>
              <w:t>5 March</w:t>
            </w:r>
            <w:r w:rsidR="00837BD8">
              <w:rPr>
                <w:rFonts w:ascii="Arial" w:hAnsi="Arial" w:cs="Arial"/>
              </w:rPr>
              <w:t xml:space="preserve"> 2024</w:t>
            </w:r>
          </w:p>
        </w:tc>
      </w:tr>
    </w:tbl>
    <w:p w14:paraId="3A6A05AE" w14:textId="3DE43498" w:rsidR="002611EB" w:rsidRDefault="002611EB" w:rsidP="008A22C6"/>
    <w:p w14:paraId="3A6A05AF" w14:textId="77777777" w:rsidR="005C60B2" w:rsidRDefault="005C60B2" w:rsidP="008A22C6"/>
    <w:p w14:paraId="3A6A05B0"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3A6A05B1"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3A6A05B5" w14:textId="77777777" w:rsidTr="00FA34FE">
        <w:trPr>
          <w:trHeight w:val="516"/>
        </w:trPr>
        <w:tc>
          <w:tcPr>
            <w:tcW w:w="2836" w:type="dxa"/>
          </w:tcPr>
          <w:p w14:paraId="3A6A05B2"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3A6A05B3"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3A6A05B4"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3A6A05BA" w14:textId="77777777" w:rsidTr="00FA34FE">
        <w:trPr>
          <w:trHeight w:val="516"/>
        </w:trPr>
        <w:tc>
          <w:tcPr>
            <w:tcW w:w="2836" w:type="dxa"/>
            <w:vAlign w:val="center"/>
          </w:tcPr>
          <w:p w14:paraId="3A6A05B6"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3A6A05B7" w14:textId="565131AD" w:rsidR="005C60B2" w:rsidRPr="005C60B2" w:rsidRDefault="005C60B2" w:rsidP="005C60B2">
            <w:pPr>
              <w:spacing w:before="120" w:after="120"/>
              <w:rPr>
                <w:rFonts w:ascii="Arial" w:hAnsi="Arial" w:cs="Arial"/>
              </w:rPr>
            </w:pPr>
          </w:p>
        </w:tc>
        <w:tc>
          <w:tcPr>
            <w:tcW w:w="5103" w:type="dxa"/>
            <w:vAlign w:val="center"/>
          </w:tcPr>
          <w:p w14:paraId="351A1E3B" w14:textId="158B9AE0" w:rsidR="008A1B0E" w:rsidRDefault="00837BD8" w:rsidP="00837BD8">
            <w:pPr>
              <w:rPr>
                <w:rFonts w:ascii="Arial" w:hAnsi="Arial" w:cs="Arial"/>
              </w:rPr>
            </w:pPr>
            <w:r>
              <w:rPr>
                <w:rFonts w:ascii="Arial" w:hAnsi="Arial" w:cs="Arial"/>
              </w:rPr>
              <w:t xml:space="preserve">Tom Bridgman, </w:t>
            </w:r>
            <w:r w:rsidR="008A1B0E">
              <w:rPr>
                <w:rFonts w:ascii="Arial" w:hAnsi="Arial" w:cs="Arial"/>
              </w:rPr>
              <w:t xml:space="preserve">Executive </w:t>
            </w:r>
            <w:r>
              <w:rPr>
                <w:rFonts w:ascii="Arial" w:hAnsi="Arial" w:cs="Arial"/>
              </w:rPr>
              <w:t>Directo</w:t>
            </w:r>
            <w:r w:rsidR="008A1B0E">
              <w:rPr>
                <w:rFonts w:ascii="Arial" w:hAnsi="Arial" w:cs="Arial"/>
              </w:rPr>
              <w:t>r</w:t>
            </w:r>
            <w:r>
              <w:rPr>
                <w:rFonts w:ascii="Arial" w:hAnsi="Arial" w:cs="Arial"/>
              </w:rPr>
              <w:t xml:space="preserve"> </w:t>
            </w:r>
            <w:r w:rsidR="008A1B0E">
              <w:rPr>
                <w:rFonts w:ascii="Arial" w:hAnsi="Arial" w:cs="Arial"/>
              </w:rPr>
              <w:t>(</w:t>
            </w:r>
            <w:r>
              <w:rPr>
                <w:rFonts w:ascii="Arial" w:hAnsi="Arial" w:cs="Arial"/>
              </w:rPr>
              <w:t>Development</w:t>
            </w:r>
            <w:r w:rsidR="008A1B0E">
              <w:rPr>
                <w:rFonts w:ascii="Arial" w:hAnsi="Arial" w:cs="Arial"/>
              </w:rPr>
              <w:t>)</w:t>
            </w:r>
          </w:p>
          <w:p w14:paraId="3A6A05B8" w14:textId="3A9F1A62" w:rsidR="005C60B2" w:rsidRPr="005C60B2" w:rsidRDefault="008A1B0E" w:rsidP="00837BD8">
            <w:pPr>
              <w:rPr>
                <w:rFonts w:ascii="Arial" w:hAnsi="Arial" w:cs="Arial"/>
              </w:rPr>
            </w:pPr>
            <w:r w:rsidRPr="004D63E5">
              <w:rPr>
                <w:rFonts w:ascii="Arial" w:hAnsi="Arial" w:cs="Arial"/>
                <w:noProof/>
              </w:rPr>
              <w:drawing>
                <wp:inline distT="0" distB="0" distL="0" distR="0" wp14:anchorId="04C3F527" wp14:editId="6CA07A95">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03302" cy="853514"/>
                          </a:xfrm>
                          <a:prstGeom prst="rect">
                            <a:avLst/>
                          </a:prstGeom>
                        </pic:spPr>
                      </pic:pic>
                    </a:graphicData>
                  </a:graphic>
                </wp:inline>
              </w:drawing>
            </w:r>
            <w:r w:rsidR="00837BD8">
              <w:rPr>
                <w:rFonts w:ascii="Arial" w:hAnsi="Arial" w:cs="Arial"/>
              </w:rPr>
              <w:t xml:space="preserve"> </w:t>
            </w:r>
          </w:p>
        </w:tc>
        <w:tc>
          <w:tcPr>
            <w:tcW w:w="1984" w:type="dxa"/>
            <w:vAlign w:val="center"/>
          </w:tcPr>
          <w:p w14:paraId="3A6A05B9" w14:textId="78115FF4" w:rsidR="005C60B2" w:rsidRPr="005C60B2" w:rsidRDefault="008A1B0E" w:rsidP="005C60B2">
            <w:pPr>
              <w:rPr>
                <w:rFonts w:ascii="Arial" w:hAnsi="Arial" w:cs="Arial"/>
              </w:rPr>
            </w:pPr>
            <w:r>
              <w:rPr>
                <w:rFonts w:ascii="Arial" w:hAnsi="Arial" w:cs="Arial"/>
              </w:rPr>
              <w:t>11 April 2024</w:t>
            </w:r>
          </w:p>
        </w:tc>
      </w:tr>
    </w:tbl>
    <w:p w14:paraId="3A6A05BB" w14:textId="77777777" w:rsidR="005C60B2" w:rsidRPr="005C60B2" w:rsidRDefault="005C60B2" w:rsidP="005C60B2">
      <w:pPr>
        <w:rPr>
          <w:rFonts w:ascii="Arial" w:hAnsi="Arial" w:cs="Arial"/>
        </w:rPr>
      </w:pPr>
    </w:p>
    <w:sectPr w:rsidR="005C60B2" w:rsidRPr="005C60B2"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0607" w14:textId="77777777" w:rsidR="00D33F83" w:rsidRDefault="00D33F83" w:rsidP="00F11FD1">
      <w:r>
        <w:separator/>
      </w:r>
    </w:p>
  </w:endnote>
  <w:endnote w:type="continuationSeparator" w:id="0">
    <w:p w14:paraId="3A6A0608"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060B"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0605" w14:textId="77777777" w:rsidR="00D33F83" w:rsidRDefault="00D33F83" w:rsidP="00F11FD1">
      <w:r>
        <w:separator/>
      </w:r>
    </w:p>
  </w:footnote>
  <w:footnote w:type="continuationSeparator" w:id="0">
    <w:p w14:paraId="3A6A0606" w14:textId="77777777" w:rsidR="00D33F83" w:rsidRDefault="00D33F83"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C73"/>
    <w:multiLevelType w:val="hybridMultilevel"/>
    <w:tmpl w:val="EAEA91C8"/>
    <w:lvl w:ilvl="0" w:tplc="D9B205F0">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67A65"/>
    <w:multiLevelType w:val="hybridMultilevel"/>
    <w:tmpl w:val="BEA6727C"/>
    <w:lvl w:ilvl="0" w:tplc="8700717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E36DA"/>
    <w:multiLevelType w:val="hybridMultilevel"/>
    <w:tmpl w:val="DA22F856"/>
    <w:lvl w:ilvl="0" w:tplc="E86AC4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F122A"/>
    <w:multiLevelType w:val="hybridMultilevel"/>
    <w:tmpl w:val="9FACF932"/>
    <w:lvl w:ilvl="0" w:tplc="019CFB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3451A1"/>
    <w:multiLevelType w:val="hybridMultilevel"/>
    <w:tmpl w:val="B7DE4298"/>
    <w:lvl w:ilvl="0" w:tplc="A184D7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21626"/>
    <w:multiLevelType w:val="hybridMultilevel"/>
    <w:tmpl w:val="DA28E8CE"/>
    <w:lvl w:ilvl="0" w:tplc="A184D7D4">
      <w:start w:val="4"/>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095329"/>
    <w:multiLevelType w:val="hybridMultilevel"/>
    <w:tmpl w:val="299A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568364">
    <w:abstractNumId w:val="10"/>
  </w:num>
  <w:num w:numId="2" w16cid:durableId="2044745465">
    <w:abstractNumId w:val="4"/>
  </w:num>
  <w:num w:numId="3" w16cid:durableId="1877347462">
    <w:abstractNumId w:val="13"/>
  </w:num>
  <w:num w:numId="4" w16cid:durableId="720247044">
    <w:abstractNumId w:val="5"/>
  </w:num>
  <w:num w:numId="5" w16cid:durableId="678239768">
    <w:abstractNumId w:val="6"/>
  </w:num>
  <w:num w:numId="6" w16cid:durableId="1209142727">
    <w:abstractNumId w:val="9"/>
  </w:num>
  <w:num w:numId="7" w16cid:durableId="1127703251">
    <w:abstractNumId w:val="7"/>
  </w:num>
  <w:num w:numId="8" w16cid:durableId="408238613">
    <w:abstractNumId w:val="3"/>
  </w:num>
  <w:num w:numId="9" w16cid:durableId="1318849683">
    <w:abstractNumId w:val="2"/>
  </w:num>
  <w:num w:numId="10" w16cid:durableId="2133940870">
    <w:abstractNumId w:val="0"/>
  </w:num>
  <w:num w:numId="11" w16cid:durableId="757406913">
    <w:abstractNumId w:val="1"/>
  </w:num>
  <w:num w:numId="12" w16cid:durableId="1312515601">
    <w:abstractNumId w:val="11"/>
  </w:num>
  <w:num w:numId="13" w16cid:durableId="1910799617">
    <w:abstractNumId w:val="8"/>
  </w:num>
  <w:num w:numId="14" w16cid:durableId="1684045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1596"/>
    <w:rsid w:val="000173BF"/>
    <w:rsid w:val="0003449A"/>
    <w:rsid w:val="000445D4"/>
    <w:rsid w:val="00052AF7"/>
    <w:rsid w:val="0005774E"/>
    <w:rsid w:val="0008133A"/>
    <w:rsid w:val="000B4310"/>
    <w:rsid w:val="000D1BA7"/>
    <w:rsid w:val="000D2140"/>
    <w:rsid w:val="000F4239"/>
    <w:rsid w:val="00167E15"/>
    <w:rsid w:val="001F522D"/>
    <w:rsid w:val="00231385"/>
    <w:rsid w:val="002611EB"/>
    <w:rsid w:val="00263039"/>
    <w:rsid w:val="002A07C9"/>
    <w:rsid w:val="002B53D4"/>
    <w:rsid w:val="002E3546"/>
    <w:rsid w:val="002E61DD"/>
    <w:rsid w:val="00323BB1"/>
    <w:rsid w:val="00335A9B"/>
    <w:rsid w:val="003505E0"/>
    <w:rsid w:val="003547CD"/>
    <w:rsid w:val="003715BC"/>
    <w:rsid w:val="00373F5D"/>
    <w:rsid w:val="003B1236"/>
    <w:rsid w:val="003C7B81"/>
    <w:rsid w:val="003E6786"/>
    <w:rsid w:val="004000D7"/>
    <w:rsid w:val="00405321"/>
    <w:rsid w:val="00424A92"/>
    <w:rsid w:val="00455784"/>
    <w:rsid w:val="004A049B"/>
    <w:rsid w:val="004B1944"/>
    <w:rsid w:val="00504E43"/>
    <w:rsid w:val="00517215"/>
    <w:rsid w:val="00532DF2"/>
    <w:rsid w:val="005C60B2"/>
    <w:rsid w:val="005C6416"/>
    <w:rsid w:val="005E21C9"/>
    <w:rsid w:val="005E37E4"/>
    <w:rsid w:val="00616F3F"/>
    <w:rsid w:val="006247C4"/>
    <w:rsid w:val="0069491A"/>
    <w:rsid w:val="006B1A11"/>
    <w:rsid w:val="006F6326"/>
    <w:rsid w:val="006F6731"/>
    <w:rsid w:val="007023AB"/>
    <w:rsid w:val="00757726"/>
    <w:rsid w:val="007908F4"/>
    <w:rsid w:val="007B380A"/>
    <w:rsid w:val="007D270E"/>
    <w:rsid w:val="00801BEB"/>
    <w:rsid w:val="00804BF2"/>
    <w:rsid w:val="00817B01"/>
    <w:rsid w:val="00834D72"/>
    <w:rsid w:val="00835E30"/>
    <w:rsid w:val="00837BD8"/>
    <w:rsid w:val="00843FB7"/>
    <w:rsid w:val="00844D21"/>
    <w:rsid w:val="00854133"/>
    <w:rsid w:val="008613FB"/>
    <w:rsid w:val="008676E5"/>
    <w:rsid w:val="008900A7"/>
    <w:rsid w:val="00891B19"/>
    <w:rsid w:val="00897F9C"/>
    <w:rsid w:val="008A1B0E"/>
    <w:rsid w:val="008A22C6"/>
    <w:rsid w:val="008E4629"/>
    <w:rsid w:val="00960744"/>
    <w:rsid w:val="00963A84"/>
    <w:rsid w:val="009728B8"/>
    <w:rsid w:val="00986C99"/>
    <w:rsid w:val="009B116B"/>
    <w:rsid w:val="009F048F"/>
    <w:rsid w:val="009F6401"/>
    <w:rsid w:val="00A12928"/>
    <w:rsid w:val="00A253FE"/>
    <w:rsid w:val="00A376E1"/>
    <w:rsid w:val="00A72ED0"/>
    <w:rsid w:val="00A96C08"/>
    <w:rsid w:val="00AC5899"/>
    <w:rsid w:val="00AD3066"/>
    <w:rsid w:val="00AE029E"/>
    <w:rsid w:val="00AF48C7"/>
    <w:rsid w:val="00B15340"/>
    <w:rsid w:val="00B87695"/>
    <w:rsid w:val="00B928EF"/>
    <w:rsid w:val="00BD4490"/>
    <w:rsid w:val="00BE1FD4"/>
    <w:rsid w:val="00BF240D"/>
    <w:rsid w:val="00C07F80"/>
    <w:rsid w:val="00C207CC"/>
    <w:rsid w:val="00C251F7"/>
    <w:rsid w:val="00C6130E"/>
    <w:rsid w:val="00C678ED"/>
    <w:rsid w:val="00CB5E4F"/>
    <w:rsid w:val="00CD4BC9"/>
    <w:rsid w:val="00CE6085"/>
    <w:rsid w:val="00D02D78"/>
    <w:rsid w:val="00D161DF"/>
    <w:rsid w:val="00D33F83"/>
    <w:rsid w:val="00D36D04"/>
    <w:rsid w:val="00D543D9"/>
    <w:rsid w:val="00DB01D4"/>
    <w:rsid w:val="00DC2E8D"/>
    <w:rsid w:val="00DD1A34"/>
    <w:rsid w:val="00DD4885"/>
    <w:rsid w:val="00DD51B2"/>
    <w:rsid w:val="00E00045"/>
    <w:rsid w:val="00E127E3"/>
    <w:rsid w:val="00E2036C"/>
    <w:rsid w:val="00E20A54"/>
    <w:rsid w:val="00E270E5"/>
    <w:rsid w:val="00E5615C"/>
    <w:rsid w:val="00E77A92"/>
    <w:rsid w:val="00E91F02"/>
    <w:rsid w:val="00E97024"/>
    <w:rsid w:val="00E97F84"/>
    <w:rsid w:val="00EE3F63"/>
    <w:rsid w:val="00F11FD1"/>
    <w:rsid w:val="00F13377"/>
    <w:rsid w:val="00F15986"/>
    <w:rsid w:val="00F3514F"/>
    <w:rsid w:val="00F64579"/>
    <w:rsid w:val="00FA4DBB"/>
    <w:rsid w:val="00FB5DB7"/>
    <w:rsid w:val="00FC7789"/>
    <w:rsid w:val="00FD3A85"/>
    <w:rsid w:val="00FE40CE"/>
    <w:rsid w:val="00FF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0581"/>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link w:val="NumParaChar"/>
    <w:qFormat/>
    <w:rsid w:val="00FA4DBB"/>
    <w:pPr>
      <w:spacing w:after="120" w:line="276" w:lineRule="auto"/>
      <w:jc w:val="both"/>
    </w:pPr>
    <w:rPr>
      <w:rFonts w:eastAsia="Times New Roman" w:cs="Times New Roman"/>
      <w:szCs w:val="22"/>
      <w:lang w:eastAsia="en-GB"/>
    </w:rPr>
  </w:style>
  <w:style w:type="character" w:customStyle="1" w:styleId="NumParaChar">
    <w:name w:val="Num Para Char"/>
    <w:basedOn w:val="DefaultParagraphFont"/>
    <w:link w:val="NumPara"/>
    <w:rsid w:val="00FA4DBB"/>
    <w:rPr>
      <w:rFonts w:eastAsia="Times New Roman" w:cs="Times New Roman"/>
      <w:szCs w:val="22"/>
      <w:lang w:eastAsia="en-GB"/>
    </w:rPr>
  </w:style>
  <w:style w:type="character" w:styleId="UnresolvedMention">
    <w:name w:val="Unresolved Mention"/>
    <w:basedOn w:val="DefaultParagraphFont"/>
    <w:uiPriority w:val="99"/>
    <w:semiHidden/>
    <w:unhideWhenUsed/>
    <w:rsid w:val="0081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146">
      <w:bodyDiv w:val="1"/>
      <w:marLeft w:val="0"/>
      <w:marRight w:val="0"/>
      <w:marTop w:val="0"/>
      <w:marBottom w:val="0"/>
      <w:divBdr>
        <w:top w:val="none" w:sz="0" w:space="0" w:color="auto"/>
        <w:left w:val="none" w:sz="0" w:space="0" w:color="auto"/>
        <w:bottom w:val="none" w:sz="0" w:space="0" w:color="auto"/>
        <w:right w:val="none" w:sz="0" w:space="0" w:color="auto"/>
      </w:divBdr>
    </w:div>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599676485">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9579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ieListDocuments.aspx?CId=157&amp;MId=7379&amp;Ver=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7366&amp;Ver=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3" ma:contentTypeDescription="Create a new document." ma:contentTypeScope="" ma:versionID="3753deed2dcd7b610455b4fd9c0e3c90">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57be56f3673856d357bcc5d4eef83565"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9A4F1-C207-4444-908C-8B7F3EA29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44EFC-F32B-466A-BEA4-9A944E55C3FB}">
  <ds:schemaRefs>
    <ds:schemaRef ds:uri="http://schemas.openxmlformats.org/package/2006/metadata/core-properties"/>
    <ds:schemaRef ds:uri="http://schemas.microsoft.com/office/2006/documentManagement/types"/>
    <ds:schemaRef ds:uri="http://schemas.microsoft.com/office/infopath/2007/PartnerControls"/>
    <ds:schemaRef ds:uri="ca0c6f25-960b-4ad0-86ba-4742c0ecca1e"/>
    <ds:schemaRef ds:uri="http://purl.org/dc/elements/1.1/"/>
    <ds:schemaRef ds:uri="http://schemas.microsoft.com/office/2006/metadata/properties"/>
    <ds:schemaRef ds:uri="http://purl.org/dc/term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67F52484-DE3D-4B5C-A17C-C960791D0355}">
  <ds:schemaRefs>
    <ds:schemaRef ds:uri="http://schemas.openxmlformats.org/officeDocument/2006/bibliography"/>
  </ds:schemaRefs>
</ds:datastoreItem>
</file>

<file path=customXml/itemProps4.xml><?xml version="1.0" encoding="utf-8"?>
<ds:datastoreItem xmlns:ds="http://schemas.openxmlformats.org/officeDocument/2006/customXml" ds:itemID="{A5E2DE83-4E8F-41D4-BB79-19F8A963A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LUND Emma</cp:lastModifiedBy>
  <cp:revision>10</cp:revision>
  <cp:lastPrinted>2015-07-27T09:35:00Z</cp:lastPrinted>
  <dcterms:created xsi:type="dcterms:W3CDTF">2024-04-08T11:50:00Z</dcterms:created>
  <dcterms:modified xsi:type="dcterms:W3CDTF">2024-04-12T14:17:00Z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